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0DCB" w14:textId="77777777" w:rsidR="007F4FE7" w:rsidRDefault="007F4FE7" w:rsidP="00040276">
      <w:pPr>
        <w:spacing w:line="480" w:lineRule="auto"/>
        <w:contextualSpacing/>
      </w:pPr>
    </w:p>
    <w:p w14:paraId="2BEEE3FD" w14:textId="77777777" w:rsidR="007F4FE7" w:rsidRDefault="007F4FE7" w:rsidP="00040276">
      <w:pPr>
        <w:spacing w:line="480" w:lineRule="auto"/>
        <w:contextualSpacing/>
      </w:pPr>
    </w:p>
    <w:p w14:paraId="06AD2014" w14:textId="77777777" w:rsidR="007F4FE7" w:rsidRDefault="007F4FE7" w:rsidP="00040276">
      <w:pPr>
        <w:spacing w:line="480" w:lineRule="auto"/>
        <w:contextualSpacing/>
      </w:pPr>
    </w:p>
    <w:p w14:paraId="3AB45776" w14:textId="77777777" w:rsidR="007F4FE7" w:rsidRDefault="007F4FE7" w:rsidP="00040276">
      <w:pPr>
        <w:spacing w:line="480" w:lineRule="auto"/>
        <w:contextualSpacing/>
      </w:pPr>
    </w:p>
    <w:p w14:paraId="338C2C8D" w14:textId="77777777" w:rsidR="007F4FE7" w:rsidRDefault="007F4FE7" w:rsidP="00040276">
      <w:pPr>
        <w:spacing w:line="480" w:lineRule="auto"/>
        <w:contextualSpacing/>
      </w:pPr>
    </w:p>
    <w:p w14:paraId="2395D92B" w14:textId="77777777" w:rsidR="007F4FE7" w:rsidRDefault="005702A7" w:rsidP="00040276">
      <w:pPr>
        <w:spacing w:line="480" w:lineRule="auto"/>
        <w:contextualSpacing/>
        <w:jc w:val="center"/>
      </w:pPr>
      <w:r>
        <w:rPr>
          <w:b/>
          <w:bCs/>
        </w:rPr>
        <w:t>Professional Practice Plan</w:t>
      </w:r>
    </w:p>
    <w:p w14:paraId="46B90616" w14:textId="77777777" w:rsidR="007F4FE7" w:rsidRDefault="007F4FE7" w:rsidP="00040276">
      <w:pPr>
        <w:spacing w:line="480" w:lineRule="auto"/>
        <w:contextualSpacing/>
      </w:pPr>
    </w:p>
    <w:p w14:paraId="432B4E10" w14:textId="77777777" w:rsidR="007F4FE7" w:rsidRDefault="005702A7" w:rsidP="00040276">
      <w:pPr>
        <w:spacing w:line="480" w:lineRule="auto"/>
        <w:contextualSpacing/>
        <w:jc w:val="center"/>
      </w:pPr>
      <w:r>
        <w:t>Regina Nelson</w:t>
      </w:r>
    </w:p>
    <w:p w14:paraId="6F5E8E02" w14:textId="77777777" w:rsidR="007F4FE7" w:rsidRDefault="005702A7" w:rsidP="00040276">
      <w:pPr>
        <w:spacing w:line="480" w:lineRule="auto"/>
        <w:contextualSpacing/>
        <w:jc w:val="center"/>
      </w:pPr>
      <w:r>
        <w:t>Capella University</w:t>
      </w:r>
    </w:p>
    <w:p w14:paraId="197AC689" w14:textId="77777777" w:rsidR="007F4FE7" w:rsidRDefault="005702A7" w:rsidP="00040276">
      <w:pPr>
        <w:spacing w:line="480" w:lineRule="auto"/>
        <w:contextualSpacing/>
        <w:jc w:val="center"/>
      </w:pPr>
      <w:r>
        <w:t>NURS-FPX8004</w:t>
      </w:r>
    </w:p>
    <w:p w14:paraId="161F2726" w14:textId="77777777" w:rsidR="007F4FE7" w:rsidRDefault="005702A7" w:rsidP="00040276">
      <w:pPr>
        <w:spacing w:line="480" w:lineRule="auto"/>
        <w:contextualSpacing/>
        <w:jc w:val="center"/>
      </w:pPr>
      <w:r>
        <w:t>Professor Jennifer Theo</w:t>
      </w:r>
    </w:p>
    <w:p w14:paraId="442DAB2E" w14:textId="77777777" w:rsidR="007F4FE7" w:rsidRDefault="005702A7" w:rsidP="00040276">
      <w:pPr>
        <w:spacing w:line="480" w:lineRule="auto"/>
        <w:contextualSpacing/>
        <w:jc w:val="center"/>
      </w:pPr>
      <w:r>
        <w:t>April 2026</w:t>
      </w:r>
    </w:p>
    <w:p w14:paraId="270CDD67" w14:textId="77777777" w:rsidR="007F4FE7" w:rsidRDefault="005702A7" w:rsidP="00040276">
      <w:pPr>
        <w:contextualSpacing/>
      </w:pPr>
      <w:r>
        <w:br w:type="page"/>
      </w:r>
    </w:p>
    <w:p w14:paraId="33967C27" w14:textId="77777777" w:rsidR="007F4FE7" w:rsidRDefault="005702A7" w:rsidP="00040276">
      <w:pPr>
        <w:spacing w:line="480" w:lineRule="auto"/>
        <w:contextualSpacing/>
        <w:jc w:val="center"/>
      </w:pPr>
      <w:r>
        <w:rPr>
          <w:b/>
          <w:bCs/>
        </w:rPr>
        <w:lastRenderedPageBreak/>
        <w:t>Professional Practice Plan</w:t>
      </w:r>
    </w:p>
    <w:p w14:paraId="2F25C5CD" w14:textId="77777777" w:rsidR="007F4FE7" w:rsidRDefault="00D23054" w:rsidP="00040276">
      <w:pPr>
        <w:spacing w:line="480" w:lineRule="auto"/>
        <w:ind w:firstLine="720"/>
        <w:contextualSpacing/>
        <w:jc w:val="both"/>
      </w:pPr>
      <w:r w:rsidRPr="00D23054">
        <w:t>Subacute rehabilitation (SAR) units are a critical component of the continuum of care for medically complex patients transitioning from acute hospital to community. A 30-bed subacute rehabilitation (SAR) unit in urban Indiana experienced repeated COVID-19 outbreaks from 2020 through 2023, with some outbreaks affecting more than 40% of short-stay rehabilitation patients. During peak periods, the nurse sick leave level went above 25%, which forced us to rely on agency staff. Their unfamiliar with our infection-control procedures would increase risk of infection. A systematic audit found that a significant practice gap was the inconsistent implementation of COVID-19 admission screening and isolation. Due to the failures above, patient safety compromised, rehabilitation continuity disrupted, staffing instability, regulatory fines, and operational disruptions. This Professional Practice Plan aims to demonstrate that inconsistent COVID-19 admission screening and isolation in the SAR unit result in avoidable intra-facility spread and poorer patient outcomes, and that a protocol-based approach can reduce COVID-19 infection rates among new admissions by at least 30% over six months.</w:t>
      </w:r>
    </w:p>
    <w:p w14:paraId="572216F3" w14:textId="77777777" w:rsidR="007F4FE7" w:rsidRDefault="005702A7" w:rsidP="00040276">
      <w:pPr>
        <w:spacing w:line="480" w:lineRule="auto"/>
        <w:contextualSpacing/>
        <w:jc w:val="center"/>
      </w:pPr>
      <w:r>
        <w:rPr>
          <w:b/>
          <w:bCs/>
        </w:rPr>
        <w:t>Population</w:t>
      </w:r>
    </w:p>
    <w:p w14:paraId="51D73B13" w14:textId="3DCF7BBF" w:rsidR="007F4FE7" w:rsidRDefault="00D23054" w:rsidP="00040276">
      <w:pPr>
        <w:spacing w:line="480" w:lineRule="auto"/>
        <w:ind w:firstLine="720"/>
        <w:contextualSpacing/>
        <w:jc w:val="both"/>
      </w:pPr>
      <w:r w:rsidRPr="00D23054">
        <w:t xml:space="preserve">The target population at this practice site is short-stay skilled nursing patients admitted to the SAR unit for post-acute rehabilitation after discharge from an acute hospital. Older adults, 65 years and older, often constitute the patient population reflecting the age distribution of the catchment area of north central Indiana. This area has a disproportionately larger burden of age-related chronic disease. The medical profile of this population is characterized by the simultaneous presence of several other ailments, usually involving type 2 diabetes mellitus, chronic obstructive pulmonary disease (COPD) and cardiovascular disease, which greatly increases the risk of severe COVID-19 disease and a complex rehabilitation course. Referrals are usually post-orthopedic, </w:t>
      </w:r>
      <w:r w:rsidRPr="00D23054">
        <w:lastRenderedPageBreak/>
        <w:t xml:space="preserve">cardiovascular, or pulmonary illness for skilled care services such as physical, occupational, and speech-language therapy, wound care or complex medication management. This quality and improvement project will involve all new admissions to the SAR unit (regardless of primary diagnosis) during the implementation period, as undiagnosed COVID-19-positive admissions can pose a threat to the entire census of residents. Patients who are known to have contracted COVID-19 before their admission from a hospital or acute care unit are not excluded but represent the highest-priority subset for consideration of isolation procedure and rehabilitation program adaptation. The second target population is the nursing and therapy staff working with this group of patients, who risk exposure to COVID-19 and are integral to protocol adherence. </w:t>
      </w:r>
      <w:r w:rsidR="00206FA5">
        <w:fldChar w:fldCharType="begin"/>
      </w:r>
      <w:r w:rsidR="00206FA5">
        <w:instrText xml:space="preserve"> ADDIN ZOTERO_ITEM CSL_CITATION {"citationID":"MpiIcOu7","properties":{"formattedCitation":"(Clemente-Su\\uc0\\u225{}rez et al., 2022)","plainCitation":"(Clemente-Suárez et al., 2022)","noteIndex":0},"citationItems":[{"id":19513,"uris":["http://zotero.org/users/local/0lIgp9yg/items/LJZJVW2J"],"itemData":{"id":19513,"type":"article-journal","abstract":"Severe acute respiratory syndrome coronavirus 2 (SARS-CoV-2) caused the coronavirus disease 2019 (COVID-19) pandemic that hit the health systems worldwide hard, causing a collapse of healthcare systems. One of the main problems of this new virus is the high inflammatory response it provokes, which is the cause of much of the symptoms. Different pharmacological approaches tried to stop the advance of the pandemic, but it seems that only vaccines are the solution. In this line, different nonpharmacological approaches have been made in order to improve symptomatology, contagion, and spread of COVID-19, the principal factors being the physical activity, nutrition, physiotherapy, psychology, and life patterns. The SARS-CoV-2 virus produces a disproportionate inflammatory response in the organism of the guest and causes complications in this that can end the life of the patient. It has been possible to see how different nonpharmacological interventions based on physical activity, nutritional, psychological, and physical therapy, and lifestyle changes can be functional tools to treat this inflammation. Thus, in the present review, we aim to provide an overview of the role of inflammation in COVID-19 and the nonpharmacological interventions related to it.","container-title":"International Journal of Molecular Sciences","DOI":"10.3390/ijms232415584","ISSN":"16616596","issue":"24","language":"English","license":"© 2022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License.","note":"number-of-pages: 15584","page":"15584","publisher":"MDPI AG","publisher-place":"Basel, Switzerland","source":"ProQuest","title":"Inflammation in COVID-19 and the Effects of Non-Pharmacological Interventions during the Pandemic: A Review","title-short":"Inflammation in COVID-19 and the Effects of Non-Pharmacological Interventions during the Pandemic","volume":"23","author":[{"family":"Clemente-Suárez","given":"Vicente Javier"},{"family":"Bustamante-Sanchez","given":"Álvaro"},{"family":"Tornero-Aguilera","given":"José Francisco"},{"family":"Ruisoto","given":"Pablo"},{"family":"Mielgo-Ayuso","given":"Juan"}],"issued":{"date-parts":[["2022"]]}}}],"schema":"https://github.com/citation-style-language/schema/raw/master/csl-citation.json"} </w:instrText>
      </w:r>
      <w:r w:rsidR="00206FA5">
        <w:fldChar w:fldCharType="separate"/>
      </w:r>
      <w:r w:rsidR="00206FA5" w:rsidRPr="00206FA5">
        <w:t>Clemente-Suárez et al.</w:t>
      </w:r>
      <w:r w:rsidR="00206FA5">
        <w:t xml:space="preserve"> (</w:t>
      </w:r>
      <w:r w:rsidR="00206FA5" w:rsidRPr="00206FA5">
        <w:t>2022</w:t>
      </w:r>
      <w:r w:rsidR="00206FA5">
        <w:fldChar w:fldCharType="end"/>
      </w:r>
      <w:r w:rsidR="00206FA5">
        <w:t>)</w:t>
      </w:r>
      <w:r w:rsidRPr="00D23054">
        <w:t xml:space="preserve"> specifically confirmed that multimorbidity, common among SAR populations such as diabetes, was a significant predictor of poorer rehabilitation outcomes in COVID-19 patients, highlighting the clinical need to identify and isolate this population at the time of admission.</w:t>
      </w:r>
    </w:p>
    <w:p w14:paraId="490216BA" w14:textId="77777777" w:rsidR="007F4FE7" w:rsidRDefault="005702A7" w:rsidP="00040276">
      <w:pPr>
        <w:spacing w:line="480" w:lineRule="auto"/>
        <w:contextualSpacing/>
        <w:jc w:val="center"/>
      </w:pPr>
      <w:r>
        <w:rPr>
          <w:b/>
          <w:bCs/>
        </w:rPr>
        <w:t>Stakeholders</w:t>
      </w:r>
    </w:p>
    <w:p w14:paraId="702EBAB4" w14:textId="77777777" w:rsidR="00D23054" w:rsidRDefault="00D23054" w:rsidP="00D23054">
      <w:pPr>
        <w:spacing w:line="480" w:lineRule="auto"/>
        <w:ind w:firstLine="720"/>
        <w:contextualSpacing/>
        <w:jc w:val="both"/>
      </w:pPr>
      <w:r>
        <w:t xml:space="preserve">The SAR stakeholders include several disciplines whose buy-in is necessary for a COVID-19 admission screening quality-improvement strategy. At the administrative level, the Director of Nursing (DON) is ultimately responsible for clinical policy, infection control and staffing, making her an important stakeholder for protocol uptake. The Administrator and Chief Medical Officer are the facility’s governing executives; the Chief Medical Officer’s occasional presence on-site establishes the parameters against which staff practice is assessed. The absence of doctors necessitates the use of nursing leadership as the arms and legs of the intervention to help enhance the DON influence. The outbreak, CMS regulatory requirements, and a formal implementation </w:t>
      </w:r>
      <w:r>
        <w:lastRenderedPageBreak/>
        <w:t>plan for action that articulates the expected patient safety outcomes and the impact on reimbursement through Value-Based Purchasing (VBP) will be presented at the executive level.</w:t>
      </w:r>
    </w:p>
    <w:p w14:paraId="4BBD8320" w14:textId="6BF50D5D" w:rsidR="004B29ED" w:rsidRDefault="00D23054" w:rsidP="00D23054">
      <w:pPr>
        <w:spacing w:line="480" w:lineRule="auto"/>
        <w:ind w:firstLine="720"/>
        <w:contextualSpacing/>
        <w:jc w:val="both"/>
      </w:pPr>
      <w:r>
        <w:t xml:space="preserve">On the frontlines, registered nurses, licensed practical nurses and certified nursing assistants will be the agents for any changes in the screening and isolation protocol. Their support is not just procedural but cultural; staff who are informed of the reason for enhanced admission screening and who have been involved in developing the protocol have greater compliance. The engagement strategy with this stakeholder group involves unit-level education sessions that link evidence such as Leis et al. (2024) on the value of routine SARS-CoV-2 testing of patients following admission to rehabilitation, and </w:t>
      </w:r>
      <w:r w:rsidR="00206FA5">
        <w:fldChar w:fldCharType="begin"/>
      </w:r>
      <w:r w:rsidR="00206FA5">
        <w:instrText xml:space="preserve"> ADDIN ZOTERO_ITEM CSL_CITATION {"citationID":"dl3vFOaF","properties":{"formattedCitation":"(Pourmand et al., 2023)","plainCitation":"(Pourmand et al., 2023)","noteIndex":0},"citationItems":[{"id":19520,"uris":["http://zotero.org/users/local/0lIgp9yg/items/LMEKIHQC"],"itemData":{"id":19520,"type":"article-journal","container-title":"Journal of emergency Nursing","issue":"4","page":"520–529","publisher":"Elsevier","source":"Google Scholar","title":"Rethinking traditional emergency department care models in a post-coronavirus disease-2019 world","volume":"49","author":[{"family":"Pourmand","given":"Ali"},{"family":"Caggiula","given":"Amy"},{"family":"Barnett","given":"Jeremy"},{"family":"Ghassemi","given":"Mateen"},{"family":"Shesser","given":"Robert"}],"issued":{"date-parts":[["2023"]]}}}],"schema":"https://github.com/citation-style-language/schema/raw/master/csl-citation.json"} </w:instrText>
      </w:r>
      <w:r w:rsidR="00206FA5">
        <w:fldChar w:fldCharType="separate"/>
      </w:r>
      <w:r w:rsidR="00206FA5" w:rsidRPr="00206FA5">
        <w:t>Pourmand et al.</w:t>
      </w:r>
      <w:r w:rsidR="00206FA5">
        <w:t xml:space="preserve"> (</w:t>
      </w:r>
      <w:r w:rsidR="00206FA5" w:rsidRPr="00206FA5">
        <w:t>2023)</w:t>
      </w:r>
      <w:r w:rsidR="00206FA5">
        <w:fldChar w:fldCharType="end"/>
      </w:r>
      <w:r w:rsidR="00206FA5">
        <w:t xml:space="preserve"> </w:t>
      </w:r>
      <w:r>
        <w:t xml:space="preserve">on the effects of the pandemic on therapy service provision) to practical, role-specific recommendations. </w:t>
      </w:r>
      <w:r w:rsidR="004B29ED">
        <w:t>The second group of frontline stakeholders, rehabilitation therapists (physical and occupational therapists and speech-language pathologists), whose practices are directly affected by COVID-19 outbreaks. This group will be engaged through interdisciplinary care conference discussions that emphasise the importance of early detection and testing for SARS-CoV-2 infection, allowing for proactive program modifications and thereby avoiding the need to cancel therapies, maintaining the trajectory of functional outcomes.</w:t>
      </w:r>
    </w:p>
    <w:p w14:paraId="405C46A8" w14:textId="19697163" w:rsidR="007F4FE7" w:rsidRDefault="004B29ED" w:rsidP="004B29ED">
      <w:pPr>
        <w:spacing w:line="480" w:lineRule="auto"/>
        <w:ind w:firstLine="720"/>
        <w:contextualSpacing/>
        <w:jc w:val="both"/>
      </w:pPr>
      <w:r>
        <w:t xml:space="preserve">External stakeholders also include the Centers for Medicare &amp; Medicaid Services (CMS), which sets the regulatory standards under its Skilled Nursing Facility Quality Reporting Program (including the new COVID-19 vaccination uptake measure for fiscal year 2026), in which the facility is expected to operate. The Indiana State Department of Health is a comparable reporting entity with its COVID-19 case reporting requirements. These external stakeholders are not directly targeted through the intervention but their requirements provide a powerful institutional incentive for leadership buy-in. Families and patient advocates are an informal but important stakeholder </w:t>
      </w:r>
      <w:r>
        <w:lastRenderedPageBreak/>
        <w:t>group, as communication about infection control measures important for patient trust and satisfaction. Strategies to communicate and engage stakeholders include varying modes of communication, such as executive summaries with outcome data for leadership, clinical education materials for clinicians, and simple written updates for patients and families</w:t>
      </w:r>
      <w:r w:rsidR="00206FA5">
        <w:t xml:space="preserve"> </w:t>
      </w:r>
      <w:r w:rsidR="00206FA5">
        <w:fldChar w:fldCharType="begin"/>
      </w:r>
      <w:r w:rsidR="00206FA5">
        <w:instrText xml:space="preserve"> ADDIN ZOTERO_ITEM CSL_CITATION {"citationID":"cgdzysOt","properties":{"formattedCitation":"(Dooley et al., 2020)","plainCitation":"(Dooley et al., 2020)","noteIndex":0},"citationItems":[{"id":19512,"uris":["http://zotero.org/users/local/0lIgp9yg/items/J2XYYU4T"],"itemData":{"id":19512,"type":"article-journal","container-title":"BMJ open","issue":"9","page":"e037673","publisher":"British Medical Journal Publishing Group","source":"Google Scholar","title":"Urgent care for patients with dementia: a scoping review of associated factors and stakeholder experiences","title-short":"Urgent care for patients with dementia","volume":"10","author":[{"family":"Dooley","given":"Jemima"},{"family":"Booker","given":"Matthew"},{"family":"Barnes","given":"Rebecca"},{"family":"Xanthopoulou","given":"Penny"}],"issued":{"date-parts":[["2020"]]}}}],"schema":"https://github.com/citation-style-language/schema/raw/master/csl-citation.json"} </w:instrText>
      </w:r>
      <w:r w:rsidR="00206FA5">
        <w:fldChar w:fldCharType="separate"/>
      </w:r>
      <w:r w:rsidR="00206FA5" w:rsidRPr="00206FA5">
        <w:t>(Dooley et al., 2020)</w:t>
      </w:r>
      <w:r w:rsidR="00206FA5">
        <w:fldChar w:fldCharType="end"/>
      </w:r>
      <w:r>
        <w:t>. Collaboration and cooperation will be sought through a stakeholder meeting during the initiative's planning phase and through an established implementation committee representing nursing, therapy, infection control and administration.</w:t>
      </w:r>
    </w:p>
    <w:p w14:paraId="2F0F6151" w14:textId="77777777" w:rsidR="007F4FE7" w:rsidRDefault="005702A7" w:rsidP="00040276">
      <w:pPr>
        <w:spacing w:line="480" w:lineRule="auto"/>
        <w:contextualSpacing/>
        <w:jc w:val="center"/>
      </w:pPr>
      <w:r>
        <w:rPr>
          <w:b/>
          <w:bCs/>
        </w:rPr>
        <w:t>Problem Question</w:t>
      </w:r>
    </w:p>
    <w:p w14:paraId="7C15226F" w14:textId="77777777" w:rsidR="007F4FE7" w:rsidRDefault="004B29ED" w:rsidP="00040276">
      <w:pPr>
        <w:spacing w:line="480" w:lineRule="auto"/>
        <w:ind w:firstLine="720"/>
        <w:contextualSpacing/>
        <w:jc w:val="both"/>
      </w:pPr>
      <w:r w:rsidRPr="004B29ED">
        <w:t xml:space="preserve">The PICO approach is an effective way to explore the practice problem. The population (P) is patients newly admitted to the SAR unit who are adults aged 65 and older with multiple chronic conditions (such as diabetes and COPD) requiring short-stay skilled nursing services. The intervention (I) is the development of a standardized protocol for COVID-19 screening and isolation at admission, which includes mandatory testing at admission, documentation of isolation status in the electronic health record (EHR), a minimum of 14-day observation period as per CMS guidelines, and education of staff on compliance with the protocol. The comparison (C) is the current "standard of care" at this institution, which is inconsistent in screening practices and documentation of isolation status in the EHR, and variable in adherence to CMS cohorting requirements, as per internal audit. The outcome (O) is a reduction in the rate of intra-facility SARS-CoV-2 transmission, defined as 30% or greater reduction in the number of newly identified COVID-19 cases in the resident census over the six-month intervention period, as well as improved therapy delivery rates and reduced COVID-19-attributable hospital readmissions. The PICO question is thus: In residents newly admitted to a subacute rehabilitation unit (SAR) with chronic conditions and/or frailty (P), is there a 30% or greater reduction in intra-facility SARS-CoV-2 </w:t>
      </w:r>
      <w:r w:rsidRPr="004B29ED">
        <w:lastRenderedPageBreak/>
        <w:t>transmission and increase in therapy delivery rates six months after implementing a standardised COVID-19 admission screening and isolation protocol (I) versus current inconsistent screening practices (C)?</w:t>
      </w:r>
    </w:p>
    <w:p w14:paraId="51D6FD80" w14:textId="77777777" w:rsidR="007F4FE7" w:rsidRDefault="005702A7" w:rsidP="00040276">
      <w:pPr>
        <w:spacing w:line="480" w:lineRule="auto"/>
        <w:contextualSpacing/>
        <w:jc w:val="center"/>
      </w:pPr>
      <w:r>
        <w:rPr>
          <w:b/>
          <w:bCs/>
        </w:rPr>
        <w:t>Conclusion</w:t>
      </w:r>
    </w:p>
    <w:p w14:paraId="3FC7F709" w14:textId="77777777" w:rsidR="007F4FE7" w:rsidRDefault="004B29ED" w:rsidP="00040276">
      <w:pPr>
        <w:spacing w:line="480" w:lineRule="auto"/>
        <w:ind w:firstLine="720"/>
        <w:contextualSpacing/>
        <w:jc w:val="both"/>
      </w:pPr>
      <w:r w:rsidRPr="004B29ED">
        <w:t>The Professional Practice Plan has laid a clinical and evidence-based framework for a quality improvement project on COVID-19 screening and isolation of new admissions at a north-central Indiana SAR unit. The identified practice gap (inconsistent adherence to formal screening and isolation protocol for new admissions) has been traced through facility data and external evidence to avoidable intra-facility transmission, service delivery challenges in the rehabilitation unit, and patient harm, especially among the at-risk elderly population with multiple chronic health conditions who are the primary demographic of this facility. The stakeholder analysis illustrates a complex but manageable organisational structure in which nursing leadership, front-line nursing and medical staff, rehabilitation therapists, and external regulatory agencies all have unique and interconnected roles in supporting protocol implementation. The PICO-formulated problem question provides a quantifiable, time-capped outcome benchmark for the quality improvement intervention design and evaluation plan in the later stages of this capstone. Overall, the integration of population demographics, stakeholder analysis and the practice gap establishes that a codified, protocol-based quality improvement intervention is needed and can be implemented into this practice site to potentially decrease intra-facility infection rates and restore continuity in rehabilitation service delivery for a vulnerable population.</w:t>
      </w:r>
    </w:p>
    <w:p w14:paraId="755CDE72" w14:textId="77777777" w:rsidR="007F4FE7" w:rsidRDefault="007F4FE7" w:rsidP="00040276">
      <w:pPr>
        <w:spacing w:line="480" w:lineRule="auto"/>
        <w:contextualSpacing/>
      </w:pPr>
    </w:p>
    <w:p w14:paraId="06CEB4E0" w14:textId="77777777" w:rsidR="007F4FE7" w:rsidRDefault="005702A7" w:rsidP="00040276">
      <w:pPr>
        <w:contextualSpacing/>
      </w:pPr>
      <w:r>
        <w:br w:type="page"/>
      </w:r>
    </w:p>
    <w:p w14:paraId="42FDB9C9" w14:textId="77777777" w:rsidR="007F4FE7" w:rsidRDefault="005702A7" w:rsidP="00040276">
      <w:pPr>
        <w:spacing w:line="480" w:lineRule="auto"/>
        <w:contextualSpacing/>
        <w:jc w:val="center"/>
      </w:pPr>
      <w:r>
        <w:rPr>
          <w:b/>
          <w:bCs/>
        </w:rPr>
        <w:lastRenderedPageBreak/>
        <w:t>References</w:t>
      </w:r>
    </w:p>
    <w:p w14:paraId="4B768D54" w14:textId="4AD35C08" w:rsidR="007F4FE7" w:rsidRDefault="005702A7" w:rsidP="00AD58BD">
      <w:pPr>
        <w:spacing w:line="480" w:lineRule="auto"/>
        <w:contextualSpacing/>
      </w:pPr>
      <w:r>
        <w:t xml:space="preserve">Leis, J. A., Copes, R., Baikie, M., Matelski, J., Muller, M., McGeer, A., &amp; Garber, G. (2024). </w:t>
      </w:r>
      <w:r w:rsidR="00AD58BD">
        <w:tab/>
      </w:r>
      <w:r>
        <w:t xml:space="preserve">Utility of routine post-admission testing for SARS-CoV-2 in a rehabilitation facility. </w:t>
      </w:r>
      <w:r w:rsidR="00AD58BD">
        <w:tab/>
      </w:r>
      <w:r>
        <w:rPr>
          <w:i/>
          <w:iCs/>
        </w:rPr>
        <w:t>Antimicrobial Stewardship &amp; Healthcare Epidemiology, 4</w:t>
      </w:r>
      <w:r>
        <w:t xml:space="preserve">(1), e21. </w:t>
      </w:r>
      <w:r w:rsidR="005C6CEE">
        <w:tab/>
      </w:r>
      <w:hyperlink r:id="rId7" w:history="1">
        <w:r w:rsidR="0004219F" w:rsidRPr="00E56B58">
          <w:rPr>
            <w:rStyle w:val="Hyperlink"/>
          </w:rPr>
          <w:t>https://doi.org/10.1017/ash.2024.14</w:t>
        </w:r>
      </w:hyperlink>
      <w:r w:rsidR="00040276">
        <w:t xml:space="preserve"> </w:t>
      </w:r>
    </w:p>
    <w:p w14:paraId="32990012" w14:textId="77777777" w:rsidR="007F4FE7" w:rsidRDefault="005702A7" w:rsidP="00040276">
      <w:pPr>
        <w:spacing w:line="480" w:lineRule="auto"/>
        <w:ind w:left="720" w:hanging="720"/>
        <w:contextualSpacing/>
      </w:pPr>
      <w:r>
        <w:t xml:space="preserve">Notarstefano, C., Bertolucci, F., Miccoli, M., &amp; Posteraro, F. (2023). Recovery of activities of daily living in COVID-19 patients requiring intensive care unit or medical care unit: An observational study on the role of rehabilitation in the subacute phase. </w:t>
      </w:r>
      <w:r>
        <w:rPr>
          <w:i/>
          <w:iCs/>
        </w:rPr>
        <w:t>Frontiers in Rehabilitation Sciences, 4</w:t>
      </w:r>
      <w:r>
        <w:t xml:space="preserve">. </w:t>
      </w:r>
      <w:hyperlink r:id="rId8" w:history="1">
        <w:r w:rsidR="00040276" w:rsidRPr="00F32CC5">
          <w:rPr>
            <w:rStyle w:val="Hyperlink"/>
          </w:rPr>
          <w:t>https://doi.org/10.3389/fresc.2023.1256999</w:t>
        </w:r>
      </w:hyperlink>
      <w:r w:rsidR="00040276">
        <w:t xml:space="preserve"> </w:t>
      </w:r>
    </w:p>
    <w:p w14:paraId="695D4871" w14:textId="77777777" w:rsidR="007F4FE7" w:rsidRDefault="005702A7" w:rsidP="00040276">
      <w:pPr>
        <w:spacing w:line="480" w:lineRule="auto"/>
        <w:ind w:left="720" w:hanging="720"/>
        <w:contextualSpacing/>
      </w:pPr>
      <w:r>
        <w:t xml:space="preserve">Wang, X., &amp; Eyler, G. (2023). Quality of long-term care facilities and COVID-19 outcomes: A systematic review. </w:t>
      </w:r>
      <w:r>
        <w:rPr>
          <w:i/>
          <w:iCs/>
        </w:rPr>
        <w:t>Innovation in Aging, 7</w:t>
      </w:r>
      <w:r>
        <w:t xml:space="preserve">(Suppl 1). </w:t>
      </w:r>
      <w:hyperlink r:id="rId9" w:history="1">
        <w:r w:rsidR="00040276" w:rsidRPr="00F32CC5">
          <w:rPr>
            <w:rStyle w:val="Hyperlink"/>
          </w:rPr>
          <w:t>https://doi.org/10.1093/geroni/igad104.3545</w:t>
        </w:r>
      </w:hyperlink>
      <w:r w:rsidR="00040276">
        <w:t xml:space="preserve"> </w:t>
      </w:r>
    </w:p>
    <w:p w14:paraId="2AC2840E" w14:textId="77777777" w:rsidR="00AD58BD" w:rsidRPr="00AD58BD" w:rsidRDefault="00AD58BD" w:rsidP="00AD58BD">
      <w:pPr>
        <w:pStyle w:val="Bibliography"/>
      </w:pPr>
      <w:r>
        <w:fldChar w:fldCharType="begin"/>
      </w:r>
      <w:r>
        <w:instrText xml:space="preserve"> ADDIN ZOTERO_BIBL {"uncited":[],"omitted":[],"custom":[]} CSL_BIBLIOGRAPHY </w:instrText>
      </w:r>
      <w:r>
        <w:fldChar w:fldCharType="separate"/>
      </w:r>
      <w:r w:rsidRPr="00AD58BD">
        <w:t xml:space="preserve">Clemente-Suárez, V. J., Bustamante-Sanchez, Á., Tornero-Aguilera, J. F., Ruisoto, P., &amp; Mielgo-Ayuso, J. (2022). Inflammation in COVID-19 and the Effects of Non-Pharmacological Interventions during the Pandemic: A Review. </w:t>
      </w:r>
      <w:r w:rsidRPr="00AD58BD">
        <w:rPr>
          <w:i/>
          <w:iCs/>
        </w:rPr>
        <w:t>International Journal of Molecular Sciences</w:t>
      </w:r>
      <w:r w:rsidRPr="00AD58BD">
        <w:t xml:space="preserve">, </w:t>
      </w:r>
      <w:r w:rsidRPr="00AD58BD">
        <w:rPr>
          <w:i/>
          <w:iCs/>
        </w:rPr>
        <w:t>23</w:t>
      </w:r>
      <w:r w:rsidRPr="00AD58BD">
        <w:t>(24), 15584. https://doi.org/10.3390/ijms232415584</w:t>
      </w:r>
    </w:p>
    <w:p w14:paraId="0350D818" w14:textId="1E375E2A" w:rsidR="00AD58BD" w:rsidRPr="00AD58BD" w:rsidRDefault="00AD58BD" w:rsidP="00AD58BD">
      <w:pPr>
        <w:pStyle w:val="Bibliography"/>
      </w:pPr>
      <w:r w:rsidRPr="00AD58BD">
        <w:t xml:space="preserve">Dooley, J., Booker, M., Barnes, R., &amp; Xanthopoulou, P. (2020). Urgent care for patients with dementia: A scoping review of associated factors and stakeholder experiences. </w:t>
      </w:r>
      <w:r w:rsidRPr="00AD58BD">
        <w:rPr>
          <w:i/>
          <w:iCs/>
        </w:rPr>
        <w:t>BMJ Open</w:t>
      </w:r>
      <w:r w:rsidRPr="00AD58BD">
        <w:t xml:space="preserve">, </w:t>
      </w:r>
      <w:r w:rsidRPr="00AD58BD">
        <w:rPr>
          <w:i/>
          <w:iCs/>
        </w:rPr>
        <w:t>10</w:t>
      </w:r>
      <w:r w:rsidRPr="00AD58BD">
        <w:t>(9), e037673.</w:t>
      </w:r>
      <w:r w:rsidR="001F0F03">
        <w:t xml:space="preserve"> </w:t>
      </w:r>
      <w:r w:rsidR="001F0F03" w:rsidRPr="001F0F03">
        <w:t>DOI:10.1136/bmjopen-2020-037673</w:t>
      </w:r>
    </w:p>
    <w:p w14:paraId="4F7EBD60" w14:textId="6AC5C305" w:rsidR="00AD58BD" w:rsidRPr="00AD58BD" w:rsidRDefault="00AD58BD" w:rsidP="00AD58BD">
      <w:pPr>
        <w:pStyle w:val="Bibliography"/>
      </w:pPr>
      <w:r w:rsidRPr="00AD58BD">
        <w:t xml:space="preserve">Pourmand, A., Caggiula, A., Barnett, J., Ghassemi, M., &amp; Shesser, R. (2023). Rethinking traditional emergency department care models in a post-coronavirus disease-2019 world. </w:t>
      </w:r>
      <w:r w:rsidRPr="00AD58BD">
        <w:rPr>
          <w:i/>
          <w:iCs/>
        </w:rPr>
        <w:t>Journal of Emergency Nursing</w:t>
      </w:r>
      <w:r w:rsidRPr="00AD58BD">
        <w:t xml:space="preserve">, </w:t>
      </w:r>
      <w:r w:rsidRPr="00AD58BD">
        <w:rPr>
          <w:i/>
          <w:iCs/>
        </w:rPr>
        <w:t>49</w:t>
      </w:r>
      <w:r w:rsidRPr="00AD58BD">
        <w:t>(4), 520–529.</w:t>
      </w:r>
      <w:r w:rsidR="001F0F03">
        <w:t xml:space="preserve"> </w:t>
      </w:r>
      <w:r w:rsidR="001F0F03" w:rsidRPr="001F0F03">
        <w:t>DOI:10.1016/j.jen.2023.02.008</w:t>
      </w:r>
    </w:p>
    <w:p w14:paraId="52594D18" w14:textId="5176166C" w:rsidR="00AD58BD" w:rsidRDefault="00AD58BD" w:rsidP="00040276">
      <w:pPr>
        <w:spacing w:line="480" w:lineRule="auto"/>
        <w:ind w:left="720" w:hanging="720"/>
        <w:contextualSpacing/>
      </w:pPr>
      <w:r>
        <w:fldChar w:fldCharType="end"/>
      </w:r>
    </w:p>
    <w:sectPr w:rsidR="00AD58BD">
      <w:head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E252" w14:textId="77777777" w:rsidR="00E64AE8" w:rsidRDefault="00E64AE8" w:rsidP="00040276">
      <w:r>
        <w:separator/>
      </w:r>
    </w:p>
  </w:endnote>
  <w:endnote w:type="continuationSeparator" w:id="0">
    <w:p w14:paraId="789460A5" w14:textId="77777777" w:rsidR="00E64AE8" w:rsidRDefault="00E64AE8" w:rsidP="000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2658" w14:textId="77777777" w:rsidR="00E64AE8" w:rsidRDefault="00E64AE8" w:rsidP="00040276">
      <w:r>
        <w:separator/>
      </w:r>
    </w:p>
  </w:footnote>
  <w:footnote w:type="continuationSeparator" w:id="0">
    <w:p w14:paraId="071F6928" w14:textId="77777777" w:rsidR="00E64AE8" w:rsidRDefault="00E64AE8" w:rsidP="0004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14310"/>
      <w:docPartObj>
        <w:docPartGallery w:val="Page Numbers (Top of Page)"/>
        <w:docPartUnique/>
      </w:docPartObj>
    </w:sdtPr>
    <w:sdtEndPr>
      <w:rPr>
        <w:noProof/>
      </w:rPr>
    </w:sdtEndPr>
    <w:sdtContent>
      <w:p w14:paraId="10DDD7DC" w14:textId="77777777" w:rsidR="00040276" w:rsidRDefault="00040276">
        <w:pPr>
          <w:pStyle w:val="Header"/>
          <w:jc w:val="right"/>
        </w:pPr>
        <w:r>
          <w:fldChar w:fldCharType="begin"/>
        </w:r>
        <w:r>
          <w:instrText xml:space="preserve"> PAGE   \* MERGEFORMAT </w:instrText>
        </w:r>
        <w:r>
          <w:fldChar w:fldCharType="separate"/>
        </w:r>
        <w:r w:rsidR="00D23054">
          <w:rPr>
            <w:noProof/>
          </w:rPr>
          <w:t>1</w:t>
        </w:r>
        <w:r>
          <w:rPr>
            <w:noProof/>
          </w:rPr>
          <w:fldChar w:fldCharType="end"/>
        </w:r>
      </w:p>
    </w:sdtContent>
  </w:sdt>
  <w:p w14:paraId="29AECFC4" w14:textId="77777777" w:rsidR="00040276" w:rsidRDefault="00040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53D1"/>
    <w:multiLevelType w:val="hybridMultilevel"/>
    <w:tmpl w:val="A12EFA9E"/>
    <w:lvl w:ilvl="0" w:tplc="01E61C6A">
      <w:start w:val="1"/>
      <w:numFmt w:val="bullet"/>
      <w:lvlText w:val="●"/>
      <w:lvlJc w:val="left"/>
      <w:pPr>
        <w:ind w:left="720" w:hanging="360"/>
      </w:pPr>
    </w:lvl>
    <w:lvl w:ilvl="1" w:tplc="5DFADDDA">
      <w:start w:val="1"/>
      <w:numFmt w:val="bullet"/>
      <w:lvlText w:val="○"/>
      <w:lvlJc w:val="left"/>
      <w:pPr>
        <w:ind w:left="1440" w:hanging="360"/>
      </w:pPr>
    </w:lvl>
    <w:lvl w:ilvl="2" w:tplc="81983DBA">
      <w:start w:val="1"/>
      <w:numFmt w:val="bullet"/>
      <w:lvlText w:val="■"/>
      <w:lvlJc w:val="left"/>
      <w:pPr>
        <w:ind w:left="2160" w:hanging="360"/>
      </w:pPr>
    </w:lvl>
    <w:lvl w:ilvl="3" w:tplc="8EA61F6C">
      <w:start w:val="1"/>
      <w:numFmt w:val="bullet"/>
      <w:lvlText w:val="●"/>
      <w:lvlJc w:val="left"/>
      <w:pPr>
        <w:ind w:left="2880" w:hanging="360"/>
      </w:pPr>
    </w:lvl>
    <w:lvl w:ilvl="4" w:tplc="EC562088">
      <w:start w:val="1"/>
      <w:numFmt w:val="bullet"/>
      <w:lvlText w:val="○"/>
      <w:lvlJc w:val="left"/>
      <w:pPr>
        <w:ind w:left="3600" w:hanging="360"/>
      </w:pPr>
    </w:lvl>
    <w:lvl w:ilvl="5" w:tplc="5C94FA14">
      <w:start w:val="1"/>
      <w:numFmt w:val="bullet"/>
      <w:lvlText w:val="■"/>
      <w:lvlJc w:val="left"/>
      <w:pPr>
        <w:ind w:left="4320" w:hanging="360"/>
      </w:pPr>
    </w:lvl>
    <w:lvl w:ilvl="6" w:tplc="591AC4A8">
      <w:start w:val="1"/>
      <w:numFmt w:val="bullet"/>
      <w:lvlText w:val="●"/>
      <w:lvlJc w:val="left"/>
      <w:pPr>
        <w:ind w:left="5040" w:hanging="360"/>
      </w:pPr>
    </w:lvl>
    <w:lvl w:ilvl="7" w:tplc="FF4E0C26">
      <w:start w:val="1"/>
      <w:numFmt w:val="bullet"/>
      <w:lvlText w:val="●"/>
      <w:lvlJc w:val="left"/>
      <w:pPr>
        <w:ind w:left="5760" w:hanging="360"/>
      </w:pPr>
    </w:lvl>
    <w:lvl w:ilvl="8" w:tplc="60BEBC22">
      <w:start w:val="1"/>
      <w:numFmt w:val="bullet"/>
      <w:lvlText w:val="●"/>
      <w:lvlJc w:val="left"/>
      <w:pPr>
        <w:ind w:left="6480" w:hanging="360"/>
      </w:pPr>
    </w:lvl>
  </w:abstractNum>
  <w:num w:numId="1" w16cid:durableId="17726228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E7"/>
    <w:rsid w:val="00040276"/>
    <w:rsid w:val="0004219F"/>
    <w:rsid w:val="001F0F03"/>
    <w:rsid w:val="00206FA5"/>
    <w:rsid w:val="002F2A59"/>
    <w:rsid w:val="004B29ED"/>
    <w:rsid w:val="005702A7"/>
    <w:rsid w:val="005C6CEE"/>
    <w:rsid w:val="005D5E34"/>
    <w:rsid w:val="006226DF"/>
    <w:rsid w:val="007F4FE7"/>
    <w:rsid w:val="00AD58BD"/>
    <w:rsid w:val="00C7405D"/>
    <w:rsid w:val="00D23054"/>
    <w:rsid w:val="00E6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7B2C"/>
  <w15:docId w15:val="{C269C784-2794-4718-8D3C-65FF2100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40276"/>
    <w:pPr>
      <w:tabs>
        <w:tab w:val="center" w:pos="4680"/>
        <w:tab w:val="right" w:pos="9360"/>
      </w:tabs>
    </w:pPr>
  </w:style>
  <w:style w:type="character" w:customStyle="1" w:styleId="HeaderChar">
    <w:name w:val="Header Char"/>
    <w:basedOn w:val="DefaultParagraphFont"/>
    <w:link w:val="Header"/>
    <w:uiPriority w:val="99"/>
    <w:rsid w:val="00040276"/>
  </w:style>
  <w:style w:type="paragraph" w:styleId="Footer">
    <w:name w:val="footer"/>
    <w:basedOn w:val="Normal"/>
    <w:link w:val="FooterChar"/>
    <w:uiPriority w:val="99"/>
    <w:unhideWhenUsed/>
    <w:rsid w:val="00040276"/>
    <w:pPr>
      <w:tabs>
        <w:tab w:val="center" w:pos="4680"/>
        <w:tab w:val="right" w:pos="9360"/>
      </w:tabs>
    </w:pPr>
  </w:style>
  <w:style w:type="character" w:customStyle="1" w:styleId="FooterChar">
    <w:name w:val="Footer Char"/>
    <w:basedOn w:val="DefaultParagraphFont"/>
    <w:link w:val="Footer"/>
    <w:uiPriority w:val="99"/>
    <w:rsid w:val="00040276"/>
  </w:style>
  <w:style w:type="paragraph" w:styleId="Bibliography">
    <w:name w:val="Bibliography"/>
    <w:basedOn w:val="Normal"/>
    <w:next w:val="Normal"/>
    <w:uiPriority w:val="37"/>
    <w:unhideWhenUsed/>
    <w:rsid w:val="00AD58BD"/>
    <w:pPr>
      <w:spacing w:line="480" w:lineRule="auto"/>
      <w:ind w:left="720" w:hanging="720"/>
    </w:pPr>
  </w:style>
  <w:style w:type="character" w:styleId="UnresolvedMention">
    <w:name w:val="Unresolved Mention"/>
    <w:basedOn w:val="DefaultParagraphFont"/>
    <w:uiPriority w:val="99"/>
    <w:semiHidden/>
    <w:unhideWhenUsed/>
    <w:rsid w:val="005C6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89/fresc.2023.1256999" TargetMode="External"/><Relationship Id="rId3" Type="http://schemas.openxmlformats.org/officeDocument/2006/relationships/settings" Target="settings.xml"/><Relationship Id="rId7" Type="http://schemas.openxmlformats.org/officeDocument/2006/relationships/hyperlink" Target="https://doi.org/10.1017/ash.202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93/geroni/igad104.3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10</cp:revision>
  <dcterms:created xsi:type="dcterms:W3CDTF">2026-04-29T04:34:00Z</dcterms:created>
  <dcterms:modified xsi:type="dcterms:W3CDTF">2026-04-30T10:13:00Z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id="2Vhy2xyi"/&gt;&lt;style id="http://www.zotero.org/styles/apa" locale="en-US" hasBibliography="1" bibliographyStyleHasBeenSet="1"/&gt;&lt;prefs&gt;&lt;pref name="fieldType" value="Field"/&gt;&lt;/prefs&gt;&lt;/data&gt;</vt:lpwstr>
  </property>
</Properties>
</file>