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4A31F496" w14:textId="282DE205" w:rsidR="007B184A" w:rsidRPr="00706F36" w:rsidRDefault="00D2039A" w:rsidP="00706F36">
      <w:pPr>
        <w:spacing w:line="480" w:lineRule="auto"/>
        <w:jc w:val="center"/>
        <w:rPr>
          <w:rFonts w:ascii="Times New Roman" w:hAnsi="Times New Roman" w:cs="Times New Roman"/>
          <w:b/>
          <w:bCs/>
          <w:sz w:val="24"/>
          <w:szCs w:val="24"/>
        </w:rPr>
      </w:pPr>
      <w:r w:rsidRPr="00706F36">
        <w:rPr>
          <w:rFonts w:ascii="Times New Roman" w:hAnsi="Times New Roman" w:cs="Times New Roman"/>
          <w:b/>
          <w:bCs/>
          <w:sz w:val="24"/>
          <w:szCs w:val="24"/>
        </w:rPr>
        <w:t>WEEK III ESSAY: Interagency Disaster Management and Vulnerable Populations in Australia</w:t>
      </w:r>
    </w:p>
    <w:p w14:paraId="470D461E" w14:textId="77777777" w:rsidR="00D2039A" w:rsidRPr="00706F36" w:rsidRDefault="00D2039A" w:rsidP="00706F36">
      <w:pPr>
        <w:spacing w:line="480" w:lineRule="auto"/>
        <w:jc w:val="center"/>
        <w:rPr>
          <w:rFonts w:ascii="Times New Roman" w:hAnsi="Times New Roman" w:cs="Times New Roman"/>
          <w:b/>
          <w:bCs/>
          <w:sz w:val="24"/>
          <w:szCs w:val="24"/>
        </w:rPr>
      </w:pPr>
    </w:p>
    <w:p w14:paraId="4643785F" w14:textId="19A0D5AC"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Name of Author</w:t>
      </w:r>
    </w:p>
    <w:p w14:paraId="256DA357" w14:textId="77777777"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Instructor Name</w:t>
      </w:r>
    </w:p>
    <w:p w14:paraId="7A1FF760" w14:textId="2D3FD8A0"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Institution</w:t>
      </w:r>
    </w:p>
    <w:p w14:paraId="3762159C" w14:textId="77777777"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Course Code and Number</w:t>
      </w:r>
    </w:p>
    <w:p w14:paraId="48E3E5B3" w14:textId="44BEEE35" w:rsidR="00D832DD"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 xml:space="preserve">Date </w:t>
      </w:r>
    </w:p>
    <w:p w14:paraId="69EFF0AC" w14:textId="77777777" w:rsidR="00D832DD" w:rsidRPr="00706F36" w:rsidRDefault="00000000" w:rsidP="00706F36">
      <w:pPr>
        <w:spacing w:line="480" w:lineRule="auto"/>
        <w:rPr>
          <w:rFonts w:ascii="Times New Roman" w:hAnsi="Times New Roman" w:cs="Times New Roman"/>
          <w:sz w:val="24"/>
          <w:szCs w:val="24"/>
        </w:rPr>
      </w:pPr>
      <w:r w:rsidRPr="00706F36">
        <w:rPr>
          <w:rFonts w:ascii="Times New Roman" w:hAnsi="Times New Roman" w:cs="Times New Roman"/>
          <w:sz w:val="24"/>
          <w:szCs w:val="24"/>
        </w:rPr>
        <w:br w:type="page"/>
      </w:r>
    </w:p>
    <w:p w14:paraId="631767C4" w14:textId="77777777" w:rsidR="00D2039A" w:rsidRPr="00706F36" w:rsidRDefault="00D2039A" w:rsidP="00706F36">
      <w:pPr>
        <w:pStyle w:val="NormalWeb"/>
        <w:spacing w:line="480" w:lineRule="auto"/>
        <w:jc w:val="center"/>
        <w:rPr>
          <w:b/>
          <w:bCs/>
        </w:rPr>
      </w:pPr>
      <w:r w:rsidRPr="00706F36">
        <w:rPr>
          <w:b/>
          <w:bCs/>
        </w:rPr>
        <w:lastRenderedPageBreak/>
        <w:t>WEEK III ESSAY: Interagency Disaster Management and Vulnerable Populations in Australia</w:t>
      </w:r>
    </w:p>
    <w:p w14:paraId="447D1908" w14:textId="6DBD2478"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geographic and climatic characteristics of Australia make it extremely vulnerable to any devastating natural disasters, with the severe bushfires being the most critical. The 20192020 Black Summer bushfires have shown just how big such events can get, and why there is a need to have sound, interagency disaster management (Tangney et al., 2023). Being the head of an emergency planning team before a disaster, it is essential to determine certain risks and the groups of people most susceptible to them. In this case, the main risk is a disastrous bushfire, and the vulnerable population, in this case, consists of people with disabilities and chronic health conditions. Such an audience is disproportionately at risk in the event of an emergency, as it is limited in its functioning, depends on certain medical devices, and is impeded in receiving mainstream emergency alerts (Crapis et al., 2024). To ensure that there is a real resilience in the community, it is important to have a solid disaster management framework that gives priority to the needs of this group of people. </w:t>
      </w:r>
    </w:p>
    <w:p w14:paraId="2AEA9882" w14:textId="04E96F19"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Situational Awareness and Communication Strategies</w:t>
      </w:r>
    </w:p>
    <w:p w14:paraId="1E0C3214" w14:textId="77777777"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Successful disaster preparedness is based on precise situational awareness and direct communications. Before a bushfire, the priority of emergency planners should be on mapping the localized hazards zones, as well as the geographical distribution of highly vulnerable residents. An essential aspect of this situational awareness is that it should acknowledge how people with disabilities and their community-based service providers depend on each other (Crapis et al., 2024). The level of preparedness in the community should be evaluated based on the capacity of these frontline health and disability workers since their own emergency preparedness is directly associated with their willingness to help their clients (Crapis et al., 2024). </w:t>
      </w:r>
    </w:p>
    <w:p w14:paraId="54E9E834" w14:textId="67F7DDDB"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communication strategies should be well-designed to address the technological, cognitive, and linguistic barriers that often marginalize persons with disabilities in general emergency alerts (Crapis et al., 2024). The main focus is to deliver precise, authoritative risk data, which can be easily interpreted, to enable people to take proactive action (McArthur, 2020). To do this, emergency management teams need to involve the use of local service providers as communication channels. Since these professionals have a close knowledge of their clients and their specific functional needs and social contexts, they are best equipped to translate generic bushfire warnings into practicalized, personalized preparedness plans (Crapis et al., 2024). </w:t>
      </w:r>
    </w:p>
    <w:p w14:paraId="683C76DB" w14:textId="2C7E02E9" w:rsidR="00505682" w:rsidRPr="00505682" w:rsidRDefault="00505682" w:rsidP="00706F36">
      <w:pPr>
        <w:spacing w:line="480" w:lineRule="auto"/>
        <w:rPr>
          <w:rFonts w:ascii="Times New Roman" w:hAnsi="Times New Roman" w:cs="Times New Roman"/>
          <w:sz w:val="24"/>
          <w:szCs w:val="24"/>
          <w:lang w:val="en-US"/>
        </w:rPr>
      </w:pPr>
    </w:p>
    <w:p w14:paraId="650367F4" w14:textId="77777777" w:rsidR="00505682" w:rsidRPr="00706F36" w:rsidRDefault="00505682" w:rsidP="00706F36">
      <w:pPr>
        <w:spacing w:line="480" w:lineRule="auto"/>
        <w:jc w:val="center"/>
        <w:rPr>
          <w:rFonts w:ascii="Times New Roman" w:hAnsi="Times New Roman" w:cs="Times New Roman"/>
          <w:b/>
          <w:bCs/>
          <w:sz w:val="24"/>
          <w:szCs w:val="24"/>
          <w:lang w:val="en-US"/>
        </w:rPr>
      </w:pPr>
      <w:r w:rsidRPr="00505682">
        <w:rPr>
          <w:rFonts w:ascii="Times New Roman" w:hAnsi="Times New Roman" w:cs="Times New Roman"/>
          <w:b/>
          <w:bCs/>
          <w:sz w:val="24"/>
          <w:szCs w:val="24"/>
          <w:lang w:val="en-US"/>
        </w:rPr>
        <w:t>The Influence of the Incident Command System (ICS) Prior to a Disaster</w:t>
      </w:r>
    </w:p>
    <w:p w14:paraId="6F539E6B" w14:textId="678A0AA4"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Incident Command System (ICS) is a precursor to the overall emergency operations before a bushfire takes place. Regional models, like the hybrid ICS model in South Australia, create a formalized system of involved agencies that are managed by specified Control Agencies, including the Country Fire Service (Tangney et al., 2023). The main impact of the ICS during the pre-disaster stage is that it requires rigorous inter-agency planning. The ICS arrangements document the unique roles of Support Agencies and Functional Support Groups, which hypothetically guarantee a coordinated methodology in advance (Tangney et al., 2023). </w:t>
      </w:r>
    </w:p>
    <w:p w14:paraId="404303CB" w14:textId="65F552FE"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But what is often more valuable than the written plans is the actual worth of the ICS before an event. Although formal governance artifacts may at times be unable to be prescriptively accurate in extremely dynamic settings, the collaborative processes required by the ICS compel different agencies to engage with one another on a regular basis (Tangney et al., 2023). This pre-disaster planning develops essential informal connections, the trust of each other, and social capital between network participants (Tangney et al., 2023). Moreover, the ICS paradigm prompts the emergency sector to push towards the focus on proactive prevention and mitigation instead of the response (McArthur, 2020). The ICS can establish a formal framework within which community resilience efforts can be systematically facilitated by aligning top-down institutional abilities with the overall objective of shared responsibility (McArthur, 2020). </w:t>
      </w:r>
    </w:p>
    <w:p w14:paraId="0211CCFC" w14:textId="781106E9"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Emergency Operations Center (EOC) Support During a Disaster</w:t>
      </w:r>
    </w:p>
    <w:p w14:paraId="49BEE115" w14:textId="11693358"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In case of a disastrous bush fire, the Emergency Operations Center (EOC) will be the coordinated strategic point of disaster recovery and response. The EOC is tasked with operating on a higher level than on-the-ground incident controllers by activating relief agencies and making sure that the right people are deployed throughout the state (Tangney et al., 2023). Its main role is to facilitate the coordination of whole-of-government resources and guide Functional Support Groups, including the logistics, engineering, and infrastructure management (Tangney et al., 2023). </w:t>
      </w:r>
    </w:p>
    <w:p w14:paraId="3ACDB86C" w14:textId="0BE36055"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EOC is the nexus of critical communications in the crisis. It also handles the upward communication through briefing government executives and cabinet members so that the political leadership is aware but not involved in the tactical operations (Tangney et al., 2023). Downwards, the EOC liaises with local zone support teams and conducts community recovery operations (Tangney et al., 2023). In addition, when the civilian response capabilities are entirely overwhelmed by the size of the bushfire, the EOC is tasked with making a formal request, integrating, and coordinating large-scale external support, including dispatching military forces of the Australian </w:t>
      </w:r>
      <w:proofErr w:type="spellStart"/>
      <w:r w:rsidRPr="00C02971">
        <w:rPr>
          <w:rFonts w:ascii="Times New Roman" w:hAnsi="Times New Roman" w:cs="Times New Roman"/>
          <w:sz w:val="24"/>
          <w:szCs w:val="24"/>
          <w:lang w:val="en-US"/>
        </w:rPr>
        <w:t>Defence</w:t>
      </w:r>
      <w:proofErr w:type="spellEnd"/>
      <w:r w:rsidRPr="00C02971">
        <w:rPr>
          <w:rFonts w:ascii="Times New Roman" w:hAnsi="Times New Roman" w:cs="Times New Roman"/>
          <w:sz w:val="24"/>
          <w:szCs w:val="24"/>
          <w:lang w:val="en-US"/>
        </w:rPr>
        <w:t xml:space="preserve"> Force (Tangney et al., 2023). </w:t>
      </w:r>
    </w:p>
    <w:p w14:paraId="16E2AF3B" w14:textId="77777777" w:rsidR="00C02971" w:rsidRPr="00706F36" w:rsidRDefault="00C02971" w:rsidP="00706F36">
      <w:pPr>
        <w:spacing w:line="480" w:lineRule="auto"/>
        <w:jc w:val="center"/>
        <w:rPr>
          <w:rFonts w:ascii="Times New Roman" w:hAnsi="Times New Roman" w:cs="Times New Roman"/>
          <w:b/>
          <w:bCs/>
          <w:sz w:val="24"/>
          <w:szCs w:val="24"/>
          <w:lang w:val="en-US"/>
        </w:rPr>
      </w:pPr>
    </w:p>
    <w:p w14:paraId="4CA2E490" w14:textId="03956F7D"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Mitigation and Preparedness Strategy: Integrating the Five Cs</w:t>
      </w:r>
    </w:p>
    <w:p w14:paraId="02C8A15F" w14:textId="1B5E8704"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As the person-</w:t>
      </w:r>
      <w:proofErr w:type="spellStart"/>
      <w:r w:rsidRPr="00706F36">
        <w:rPr>
          <w:rFonts w:ascii="Times New Roman" w:hAnsi="Times New Roman" w:cs="Times New Roman"/>
          <w:sz w:val="24"/>
          <w:szCs w:val="24"/>
          <w:lang w:val="en-US"/>
        </w:rPr>
        <w:t>centred</w:t>
      </w:r>
      <w:proofErr w:type="spellEnd"/>
      <w:r w:rsidRPr="00706F36">
        <w:rPr>
          <w:rFonts w:ascii="Times New Roman" w:hAnsi="Times New Roman" w:cs="Times New Roman"/>
          <w:sz w:val="24"/>
          <w:szCs w:val="24"/>
          <w:lang w:val="en-US"/>
        </w:rPr>
        <w:t xml:space="preserve"> emergency preparedness (P-CEP) framework will serve as the main mitigation method to protect individuals with disabilities and minimize their susceptibility, the emergency planning team will apply it (</w:t>
      </w:r>
      <w:r w:rsidR="00211C2F" w:rsidRPr="00211C2F">
        <w:rPr>
          <w:rFonts w:ascii="Times New Roman" w:hAnsi="Times New Roman" w:cs="Times New Roman"/>
          <w:sz w:val="24"/>
          <w:szCs w:val="24"/>
        </w:rPr>
        <w:t>Warnick &amp; Molino, 2020</w:t>
      </w:r>
      <w:r w:rsidRPr="00706F36">
        <w:rPr>
          <w:rFonts w:ascii="Times New Roman" w:hAnsi="Times New Roman" w:cs="Times New Roman"/>
          <w:sz w:val="24"/>
          <w:szCs w:val="24"/>
          <w:lang w:val="en-US"/>
        </w:rPr>
        <w:t xml:space="preserve">). This plan directly realizes the five Cs to enhance interoperability and communication among social groups. </w:t>
      </w:r>
    </w:p>
    <w:p w14:paraId="61998EEB" w14:textId="0FBD186D"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First, it improves Communication by promoting dialogues of shared learning among individuals, their care providers, and emergency services. This way, vulnerable people will remain aware of the local bushfire risks and effectively convey their individual support requirements to the authorities (</w:t>
      </w:r>
      <w:r w:rsidR="00211C2F" w:rsidRPr="00211C2F">
        <w:rPr>
          <w:rFonts w:ascii="Times New Roman" w:hAnsi="Times New Roman" w:cs="Times New Roman"/>
          <w:sz w:val="24"/>
          <w:szCs w:val="24"/>
        </w:rPr>
        <w:t>Warnick &amp; Molino, 2020</w:t>
      </w:r>
      <w:r w:rsidRPr="00706F36">
        <w:rPr>
          <w:rFonts w:ascii="Times New Roman" w:hAnsi="Times New Roman" w:cs="Times New Roman"/>
          <w:sz w:val="24"/>
          <w:szCs w:val="24"/>
          <w:lang w:val="en-US"/>
        </w:rPr>
        <w:t xml:space="preserve">). Second, Coordination is done through the formal incorporation of community, health, and rehabilitation service providers in the larger emergency planning structures. This makes sure that the providers get proper training and are coordinated materially to support their clients in the event of an evacuation (Crapis et al., 2024). </w:t>
      </w:r>
    </w:p>
    <w:p w14:paraId="1CFCCF7F" w14:textId="29CE4696" w:rsidR="00505682" w:rsidRPr="00706F36" w:rsidRDefault="00C02971" w:rsidP="00706F36">
      <w:pPr>
        <w:spacing w:line="480" w:lineRule="auto"/>
        <w:rPr>
          <w:rFonts w:ascii="Times New Roman" w:hAnsi="Times New Roman" w:cs="Times New Roman"/>
          <w:b/>
          <w:bCs/>
          <w:sz w:val="24"/>
          <w:szCs w:val="24"/>
          <w:lang w:val="en-US"/>
        </w:rPr>
      </w:pPr>
      <w:r w:rsidRPr="00706F36">
        <w:rPr>
          <w:rFonts w:ascii="Times New Roman" w:hAnsi="Times New Roman" w:cs="Times New Roman"/>
          <w:sz w:val="24"/>
          <w:szCs w:val="24"/>
          <w:lang w:val="en-US"/>
        </w:rPr>
        <w:tab/>
        <w:t>Third, Cooperation is achieved with the spirit of shared responsibility. Instead of communities receiving directives on disaster risk reduction passively as dictated by the top-down structure of emergency services, the government agencies and local bodies collaborate to reach a mutual understanding of disaster risk reduction roles before a crisis (McArthur, 2020). Fourth, Collaboration entails the multi-stakeholder engagement in order to eliminate both physical and social barriers. This involves creating social connectedness to enable disabled people to have networks with trusted and collaborative relationships like neighborhood buddy systems or trusted service providers to fall back on in case of an emergency (</w:t>
      </w:r>
      <w:r w:rsidR="00211C2F" w:rsidRPr="00211C2F">
        <w:rPr>
          <w:rFonts w:ascii="Times New Roman" w:hAnsi="Times New Roman" w:cs="Times New Roman"/>
          <w:sz w:val="24"/>
          <w:szCs w:val="24"/>
        </w:rPr>
        <w:t>Warnick &amp; Molino, 2020</w:t>
      </w:r>
      <w:r w:rsidRPr="00706F36">
        <w:rPr>
          <w:rFonts w:ascii="Times New Roman" w:hAnsi="Times New Roman" w:cs="Times New Roman"/>
          <w:sz w:val="24"/>
          <w:szCs w:val="24"/>
          <w:lang w:val="en-US"/>
        </w:rPr>
        <w:t xml:space="preserve">). Lastly, Command/Control helps to integrate these individualized, localized P-CEP plans with overall command arrangements of local emergency services (McArthur, 2020). The strategy links the state-level disaster structures with the local community vulnerabilities by integrating community-level preparedness into the official ICS structure. </w:t>
      </w:r>
    </w:p>
    <w:p w14:paraId="042929ED" w14:textId="77777777" w:rsidR="00505682" w:rsidRPr="00706F36" w:rsidRDefault="00505682" w:rsidP="00706F36">
      <w:pPr>
        <w:spacing w:line="480" w:lineRule="auto"/>
        <w:rPr>
          <w:rFonts w:ascii="Times New Roman" w:hAnsi="Times New Roman" w:cs="Times New Roman"/>
          <w:b/>
          <w:bCs/>
          <w:sz w:val="24"/>
          <w:szCs w:val="24"/>
          <w:lang w:val="en-US"/>
        </w:rPr>
      </w:pPr>
    </w:p>
    <w:p w14:paraId="586128A4" w14:textId="29B0F163" w:rsidR="00505682" w:rsidRPr="00505682"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Conclusion</w:t>
      </w:r>
    </w:p>
    <w:p w14:paraId="03F88BA0" w14:textId="0B35113A"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The management of disasters in Australia needs to be holistic and properly coordinated to blend formal structures with localized interactions in the community. Emergency planners can communicate risks to vulnerable groups, including people with disabilities, by prioritizing the situational awareness that is specific to the situation and empowering local service providers. Planning with the ICS to have a strong pre-disaster planning and the EOC to provide strategic and whole-of-government coordination in the response to an event will guarantee a disciplined and unified response. Finally, the implementation of the Five Cs with the help of the inclusive mitigation strategies, such as the P-CEP framework, will turn written emergency plans into working, shared resilience where no population will be left behind in the case of the disastrous bushfire.</w:t>
      </w:r>
    </w:p>
    <w:p w14:paraId="30BB4AC2" w14:textId="77777777" w:rsidR="00D2039A" w:rsidRPr="00706F36" w:rsidRDefault="00D2039A"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br w:type="page"/>
      </w:r>
    </w:p>
    <w:p w14:paraId="4C328A59" w14:textId="11D197DA" w:rsidR="00D2039A" w:rsidRPr="00706F36" w:rsidRDefault="00D2039A" w:rsidP="00706F36">
      <w:pPr>
        <w:pStyle w:val="NormalWeb"/>
        <w:spacing w:line="480" w:lineRule="auto"/>
        <w:jc w:val="center"/>
        <w:rPr>
          <w:b/>
          <w:bCs/>
          <w:lang w:val="en-US"/>
        </w:rPr>
      </w:pPr>
      <w:r w:rsidRPr="00706F36">
        <w:rPr>
          <w:b/>
          <w:bCs/>
          <w:lang w:val="en-US"/>
        </w:rPr>
        <w:t>References</w:t>
      </w:r>
    </w:p>
    <w:p w14:paraId="18EFB165" w14:textId="69E33343" w:rsidR="00D2039A" w:rsidRPr="00D2039A" w:rsidRDefault="00D2039A" w:rsidP="00706F36">
      <w:pPr>
        <w:pStyle w:val="NormalWeb"/>
        <w:spacing w:line="480" w:lineRule="auto"/>
        <w:ind w:left="720" w:hanging="720"/>
        <w:rPr>
          <w:lang w:val="en-US"/>
        </w:rPr>
      </w:pPr>
      <w:r w:rsidRPr="00D2039A">
        <w:rPr>
          <w:lang w:val="en-US"/>
        </w:rPr>
        <w:t xml:space="preserve">Crapis, C., Chang, K.-Y. J., &amp; Villeneuve, M. (2024). A cross-sectional survey of Australian service providers' emergency preparedness capabilities. </w:t>
      </w:r>
      <w:r w:rsidRPr="00D2039A">
        <w:rPr>
          <w:i/>
          <w:iCs/>
          <w:lang w:val="en-US"/>
        </w:rPr>
        <w:t>Disability and Rehabilitation</w:t>
      </w:r>
      <w:r w:rsidRPr="00D2039A">
        <w:rPr>
          <w:lang w:val="en-US"/>
        </w:rPr>
        <w:t xml:space="preserve">, </w:t>
      </w:r>
      <w:r w:rsidRPr="00D2039A">
        <w:rPr>
          <w:i/>
          <w:iCs/>
          <w:lang w:val="en-US"/>
        </w:rPr>
        <w:t>46</w:t>
      </w:r>
      <w:r w:rsidRPr="00D2039A">
        <w:rPr>
          <w:lang w:val="en-US"/>
        </w:rPr>
        <w:t xml:space="preserve">(18), 4276–4286. </w:t>
      </w:r>
      <w:hyperlink w:tgtFrame="_blank" w:history="1">
        <w:r w:rsidRPr="00D2039A">
          <w:rPr>
            <w:rStyle w:val="Hyperlink"/>
            <w:color w:val="auto"/>
            <w:lang w:val="en-US"/>
          </w:rPr>
          <w:t>https://doi.org/10.1080/09638288.2023.2270916</w:t>
        </w:r>
      </w:hyperlink>
    </w:p>
    <w:p w14:paraId="3E7529E9" w14:textId="77777777" w:rsidR="00D2039A" w:rsidRPr="00D2039A" w:rsidRDefault="00D2039A" w:rsidP="00706F36">
      <w:pPr>
        <w:pStyle w:val="NormalWeb"/>
        <w:spacing w:line="480" w:lineRule="auto"/>
        <w:ind w:left="720" w:hanging="720"/>
        <w:rPr>
          <w:lang w:val="en-US"/>
        </w:rPr>
      </w:pPr>
      <w:r w:rsidRPr="00D2039A">
        <w:rPr>
          <w:lang w:val="en-US"/>
        </w:rPr>
        <w:t xml:space="preserve">McArthur, T. (2020). Resilience in NSW: The need for a comprehensive, coherent emergency planning framework. </w:t>
      </w:r>
      <w:r w:rsidRPr="00D2039A">
        <w:rPr>
          <w:i/>
          <w:iCs/>
          <w:lang w:val="en-US"/>
        </w:rPr>
        <w:t>Australian Journal of Emergency Management</w:t>
      </w:r>
      <w:r w:rsidRPr="00D2039A">
        <w:rPr>
          <w:lang w:val="en-US"/>
        </w:rPr>
        <w:t xml:space="preserve">, </w:t>
      </w:r>
      <w:r w:rsidRPr="00D2039A">
        <w:rPr>
          <w:i/>
          <w:iCs/>
          <w:lang w:val="en-US"/>
        </w:rPr>
        <w:t>35</w:t>
      </w:r>
      <w:r w:rsidRPr="00D2039A">
        <w:rPr>
          <w:lang w:val="en-US"/>
        </w:rPr>
        <w:t>(4), 61–66.</w:t>
      </w:r>
    </w:p>
    <w:p w14:paraId="2FD5AEA8" w14:textId="77777777" w:rsidR="00D2039A" w:rsidRPr="00706F36" w:rsidRDefault="00D2039A" w:rsidP="00706F36">
      <w:pPr>
        <w:pStyle w:val="NormalWeb"/>
        <w:spacing w:line="480" w:lineRule="auto"/>
        <w:ind w:left="720" w:hanging="720"/>
      </w:pPr>
      <w:r w:rsidRPr="00D2039A">
        <w:rPr>
          <w:lang w:val="en-US"/>
        </w:rPr>
        <w:t xml:space="preserve">Tangney, P., Star, C., Sutton, Z., &amp; Clarke, B. (2023). Navigating collaborative governance: Network ignorance and the performative planning of South Australia's emergency management. </w:t>
      </w:r>
      <w:r w:rsidRPr="00D2039A">
        <w:rPr>
          <w:i/>
          <w:iCs/>
          <w:lang w:val="en-US"/>
        </w:rPr>
        <w:t>International Journal of Disaster Risk Reduction</w:t>
      </w:r>
      <w:r w:rsidRPr="00D2039A">
        <w:rPr>
          <w:lang w:val="en-US"/>
        </w:rPr>
        <w:t xml:space="preserve">, </w:t>
      </w:r>
      <w:r w:rsidRPr="00D2039A">
        <w:rPr>
          <w:i/>
          <w:iCs/>
          <w:lang w:val="en-US"/>
        </w:rPr>
        <w:t>96</w:t>
      </w:r>
      <w:r w:rsidRPr="00D2039A">
        <w:rPr>
          <w:lang w:val="en-US"/>
        </w:rPr>
        <w:t xml:space="preserve">, 103983. </w:t>
      </w:r>
      <w:hyperlink w:tgtFrame="_blank" w:history="1">
        <w:r w:rsidRPr="00D2039A">
          <w:rPr>
            <w:rStyle w:val="Hyperlink"/>
            <w:color w:val="auto"/>
            <w:lang w:val="en-US"/>
          </w:rPr>
          <w:t>https://doi.org/10.1016/j.ijdrr.2023.103983</w:t>
        </w:r>
      </w:hyperlink>
    </w:p>
    <w:p w14:paraId="73264982" w14:textId="29360021" w:rsidR="00860CB2" w:rsidRPr="00D2039A" w:rsidRDefault="00860CB2" w:rsidP="00706F36">
      <w:pPr>
        <w:pStyle w:val="NormalWeb"/>
        <w:spacing w:line="480" w:lineRule="auto"/>
        <w:ind w:left="720" w:hanging="720"/>
        <w:rPr>
          <w:lang w:val="en-US"/>
        </w:rPr>
      </w:pPr>
      <w:r w:rsidRPr="00706F36">
        <w:rPr>
          <w:b/>
          <w:bCs/>
        </w:rPr>
        <w:t>Warnick, M. S., &amp; Molino Sr., L. N. (2020).</w:t>
      </w:r>
      <w:r w:rsidRPr="00706F36">
        <w:t xml:space="preserve"> </w:t>
      </w:r>
      <w:r w:rsidRPr="00706F36">
        <w:rPr>
          <w:i/>
          <w:iCs/>
        </w:rPr>
        <w:t>Emergency incident management systems: Fundamentals and applications</w:t>
      </w:r>
      <w:r w:rsidRPr="00706F36">
        <w:t xml:space="preserve"> (2nd ed.). Butterworth-Heinemann.</w:t>
      </w:r>
    </w:p>
    <w:p w14:paraId="78BA7C1E" w14:textId="12057C4E" w:rsidR="002E0669" w:rsidRPr="00706F36" w:rsidRDefault="002E0669" w:rsidP="00706F36">
      <w:pPr>
        <w:pStyle w:val="NormalWeb"/>
        <w:spacing w:line="480" w:lineRule="auto"/>
      </w:pPr>
    </w:p>
    <w:sectPr w:rsidR="002E0669" w:rsidRPr="00706F36">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4DE26" w14:textId="77777777" w:rsidR="00A556C7" w:rsidRDefault="00A556C7">
      <w:pPr>
        <w:spacing w:line="240" w:lineRule="auto"/>
      </w:pPr>
      <w:r>
        <w:separator/>
      </w:r>
    </w:p>
  </w:endnote>
  <w:endnote w:type="continuationSeparator" w:id="0">
    <w:p w14:paraId="1A376806" w14:textId="77777777" w:rsidR="00A556C7" w:rsidRDefault="00A556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26533B-5905-446F-86FD-1860168887C7}"/>
  </w:font>
  <w:font w:name="Cambria">
    <w:panose1 w:val="02040503050406030204"/>
    <w:charset w:val="00"/>
    <w:family w:val="roman"/>
    <w:pitch w:val="variable"/>
    <w:sig w:usb0="E00006FF" w:usb1="420024FF" w:usb2="02000000" w:usb3="00000000" w:csb0="0000019F" w:csb1="00000000"/>
    <w:embedRegular r:id="rId2" w:fontKey="{6221D289-301E-420B-B02E-7C0B83D1C5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7758F" w14:textId="77777777" w:rsidR="00A556C7" w:rsidRDefault="00A556C7">
      <w:pPr>
        <w:spacing w:line="240" w:lineRule="auto"/>
      </w:pPr>
      <w:r>
        <w:separator/>
      </w:r>
    </w:p>
  </w:footnote>
  <w:footnote w:type="continuationSeparator" w:id="0">
    <w:p w14:paraId="58404F17" w14:textId="77777777" w:rsidR="00A556C7" w:rsidRDefault="00A556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E5A07"/>
    <w:multiLevelType w:val="multilevel"/>
    <w:tmpl w:val="25AA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06A75"/>
    <w:multiLevelType w:val="multilevel"/>
    <w:tmpl w:val="9F7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EB1DB4"/>
    <w:multiLevelType w:val="multilevel"/>
    <w:tmpl w:val="974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24B9E"/>
    <w:multiLevelType w:val="multilevel"/>
    <w:tmpl w:val="59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 w:numId="2" w16cid:durableId="437454402">
    <w:abstractNumId w:val="3"/>
  </w:num>
  <w:num w:numId="3" w16cid:durableId="1058825152">
    <w:abstractNumId w:val="5"/>
  </w:num>
  <w:num w:numId="4" w16cid:durableId="1425957986">
    <w:abstractNumId w:val="7"/>
  </w:num>
  <w:num w:numId="5" w16cid:durableId="632180496">
    <w:abstractNumId w:val="4"/>
  </w:num>
  <w:num w:numId="6" w16cid:durableId="817845291">
    <w:abstractNumId w:val="1"/>
  </w:num>
  <w:num w:numId="7" w16cid:durableId="1196847758">
    <w:abstractNumId w:val="2"/>
  </w:num>
  <w:num w:numId="8" w16cid:durableId="16834378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1CA1"/>
    <w:rsid w:val="0002393F"/>
    <w:rsid w:val="00025392"/>
    <w:rsid w:val="00025755"/>
    <w:rsid w:val="0002628D"/>
    <w:rsid w:val="00036911"/>
    <w:rsid w:val="000602DD"/>
    <w:rsid w:val="000623C9"/>
    <w:rsid w:val="00072C0E"/>
    <w:rsid w:val="000840C5"/>
    <w:rsid w:val="00097733"/>
    <w:rsid w:val="000A06F7"/>
    <w:rsid w:val="000B04AE"/>
    <w:rsid w:val="000B08D9"/>
    <w:rsid w:val="000B2A5E"/>
    <w:rsid w:val="000B57C9"/>
    <w:rsid w:val="000C772B"/>
    <w:rsid w:val="000D23C1"/>
    <w:rsid w:val="000E0558"/>
    <w:rsid w:val="000E3F23"/>
    <w:rsid w:val="000E4D8D"/>
    <w:rsid w:val="00106575"/>
    <w:rsid w:val="0010731F"/>
    <w:rsid w:val="00115372"/>
    <w:rsid w:val="00130433"/>
    <w:rsid w:val="00135FE7"/>
    <w:rsid w:val="001446F3"/>
    <w:rsid w:val="00146AC4"/>
    <w:rsid w:val="00147A36"/>
    <w:rsid w:val="00156F1A"/>
    <w:rsid w:val="001629CB"/>
    <w:rsid w:val="00165338"/>
    <w:rsid w:val="001670CC"/>
    <w:rsid w:val="00177A79"/>
    <w:rsid w:val="001C2F46"/>
    <w:rsid w:val="001C6E9C"/>
    <w:rsid w:val="001E06CB"/>
    <w:rsid w:val="001F0E96"/>
    <w:rsid w:val="001F34EA"/>
    <w:rsid w:val="001F6420"/>
    <w:rsid w:val="001F74BD"/>
    <w:rsid w:val="00211C2F"/>
    <w:rsid w:val="002257DD"/>
    <w:rsid w:val="00226B02"/>
    <w:rsid w:val="002340F5"/>
    <w:rsid w:val="00255E40"/>
    <w:rsid w:val="002650A5"/>
    <w:rsid w:val="002722B9"/>
    <w:rsid w:val="002747B5"/>
    <w:rsid w:val="002A1518"/>
    <w:rsid w:val="002A26CB"/>
    <w:rsid w:val="002A4AC3"/>
    <w:rsid w:val="002D172A"/>
    <w:rsid w:val="002D4423"/>
    <w:rsid w:val="002E0669"/>
    <w:rsid w:val="002E2E6C"/>
    <w:rsid w:val="003228C2"/>
    <w:rsid w:val="00332293"/>
    <w:rsid w:val="003363A8"/>
    <w:rsid w:val="00341146"/>
    <w:rsid w:val="003419A2"/>
    <w:rsid w:val="003526B8"/>
    <w:rsid w:val="003565B3"/>
    <w:rsid w:val="00386E6C"/>
    <w:rsid w:val="00392FCE"/>
    <w:rsid w:val="003A2B63"/>
    <w:rsid w:val="003B1ECD"/>
    <w:rsid w:val="003C78FE"/>
    <w:rsid w:val="003D59C7"/>
    <w:rsid w:val="003E5015"/>
    <w:rsid w:val="00436A4C"/>
    <w:rsid w:val="00446D63"/>
    <w:rsid w:val="0046149B"/>
    <w:rsid w:val="00462C7E"/>
    <w:rsid w:val="0046446E"/>
    <w:rsid w:val="004738BB"/>
    <w:rsid w:val="00482390"/>
    <w:rsid w:val="004B1F6B"/>
    <w:rsid w:val="004D0FB0"/>
    <w:rsid w:val="004D3173"/>
    <w:rsid w:val="004E0742"/>
    <w:rsid w:val="004E74D9"/>
    <w:rsid w:val="004E758B"/>
    <w:rsid w:val="005026B8"/>
    <w:rsid w:val="00505682"/>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06F36"/>
    <w:rsid w:val="007101BD"/>
    <w:rsid w:val="00730B9F"/>
    <w:rsid w:val="00742AF7"/>
    <w:rsid w:val="00745426"/>
    <w:rsid w:val="00774BEC"/>
    <w:rsid w:val="00776717"/>
    <w:rsid w:val="0078379F"/>
    <w:rsid w:val="007B184A"/>
    <w:rsid w:val="007C3D28"/>
    <w:rsid w:val="007C6672"/>
    <w:rsid w:val="007D08E4"/>
    <w:rsid w:val="007D2307"/>
    <w:rsid w:val="007D4F35"/>
    <w:rsid w:val="007D78FE"/>
    <w:rsid w:val="007E0D13"/>
    <w:rsid w:val="00801466"/>
    <w:rsid w:val="008333DF"/>
    <w:rsid w:val="00836C2D"/>
    <w:rsid w:val="0085667F"/>
    <w:rsid w:val="00860CB2"/>
    <w:rsid w:val="008725A0"/>
    <w:rsid w:val="00875314"/>
    <w:rsid w:val="00890750"/>
    <w:rsid w:val="00891E3C"/>
    <w:rsid w:val="008C25A2"/>
    <w:rsid w:val="008C64E2"/>
    <w:rsid w:val="008E23F2"/>
    <w:rsid w:val="008F10C7"/>
    <w:rsid w:val="008F5458"/>
    <w:rsid w:val="008F65E7"/>
    <w:rsid w:val="008F6743"/>
    <w:rsid w:val="009038AE"/>
    <w:rsid w:val="0092375F"/>
    <w:rsid w:val="00925ED9"/>
    <w:rsid w:val="009866CC"/>
    <w:rsid w:val="009A0562"/>
    <w:rsid w:val="009A3EBF"/>
    <w:rsid w:val="009C2CF0"/>
    <w:rsid w:val="009D4C12"/>
    <w:rsid w:val="009D5A5A"/>
    <w:rsid w:val="009E40B6"/>
    <w:rsid w:val="009E4EDE"/>
    <w:rsid w:val="00A556C7"/>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03A6"/>
    <w:rsid w:val="00B37053"/>
    <w:rsid w:val="00B50D75"/>
    <w:rsid w:val="00B72739"/>
    <w:rsid w:val="00B77D2C"/>
    <w:rsid w:val="00B82144"/>
    <w:rsid w:val="00B878EB"/>
    <w:rsid w:val="00BA4520"/>
    <w:rsid w:val="00BB12E8"/>
    <w:rsid w:val="00BE2E55"/>
    <w:rsid w:val="00BF7431"/>
    <w:rsid w:val="00C02971"/>
    <w:rsid w:val="00C37401"/>
    <w:rsid w:val="00C6053C"/>
    <w:rsid w:val="00C76CCA"/>
    <w:rsid w:val="00C93CC6"/>
    <w:rsid w:val="00C942A7"/>
    <w:rsid w:val="00CA6A16"/>
    <w:rsid w:val="00CB27F1"/>
    <w:rsid w:val="00CC4140"/>
    <w:rsid w:val="00CF4C32"/>
    <w:rsid w:val="00D00FD8"/>
    <w:rsid w:val="00D1683A"/>
    <w:rsid w:val="00D2039A"/>
    <w:rsid w:val="00D2276C"/>
    <w:rsid w:val="00D52688"/>
    <w:rsid w:val="00D657AB"/>
    <w:rsid w:val="00D7342D"/>
    <w:rsid w:val="00D7681D"/>
    <w:rsid w:val="00D80C0A"/>
    <w:rsid w:val="00D832DD"/>
    <w:rsid w:val="00DA7ED3"/>
    <w:rsid w:val="00DC09B2"/>
    <w:rsid w:val="00DD5EB3"/>
    <w:rsid w:val="00DE4E0D"/>
    <w:rsid w:val="00DF02A5"/>
    <w:rsid w:val="00DF2A2D"/>
    <w:rsid w:val="00E027E7"/>
    <w:rsid w:val="00E02E9A"/>
    <w:rsid w:val="00E0486B"/>
    <w:rsid w:val="00E13DD1"/>
    <w:rsid w:val="00E338BF"/>
    <w:rsid w:val="00E71259"/>
    <w:rsid w:val="00E7685F"/>
    <w:rsid w:val="00E77114"/>
    <w:rsid w:val="00EB5A2D"/>
    <w:rsid w:val="00EB62C4"/>
    <w:rsid w:val="00ED361B"/>
    <w:rsid w:val="00EE355A"/>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4</cp:revision>
  <dcterms:created xsi:type="dcterms:W3CDTF">2026-04-30T08:54:00Z</dcterms:created>
  <dcterms:modified xsi:type="dcterms:W3CDTF">2026-04-30T11:24:00Z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