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C47" w:rsidRDefault="008F5C47" w:rsidP="008F5C47">
      <w:pPr>
        <w:spacing w:after="0" w:line="480" w:lineRule="auto"/>
        <w:jc w:val="center"/>
        <w:rPr>
          <w:rFonts w:ascii="Times New Roman" w:eastAsia="Times New Roman" w:hAnsi="Times New Roman" w:cs="Times New Roman"/>
          <w:b/>
          <w:sz w:val="24"/>
          <w:szCs w:val="24"/>
        </w:rPr>
      </w:pPr>
    </w:p>
    <w:p w:rsidR="008F5C47" w:rsidRDefault="008F5C47" w:rsidP="008F5C47">
      <w:pPr>
        <w:spacing w:after="0" w:line="480" w:lineRule="auto"/>
        <w:jc w:val="center"/>
        <w:rPr>
          <w:rFonts w:ascii="Times New Roman" w:eastAsia="Times New Roman" w:hAnsi="Times New Roman" w:cs="Times New Roman"/>
          <w:b/>
          <w:sz w:val="24"/>
          <w:szCs w:val="24"/>
        </w:rPr>
      </w:pPr>
    </w:p>
    <w:p w:rsidR="008F5C47" w:rsidRDefault="008F5C47" w:rsidP="008F5C47">
      <w:pPr>
        <w:spacing w:after="0" w:line="480" w:lineRule="auto"/>
        <w:jc w:val="center"/>
        <w:rPr>
          <w:rFonts w:ascii="Times New Roman" w:eastAsia="Times New Roman" w:hAnsi="Times New Roman" w:cs="Times New Roman"/>
          <w:b/>
          <w:sz w:val="24"/>
          <w:szCs w:val="24"/>
        </w:rPr>
      </w:pPr>
    </w:p>
    <w:p w:rsidR="008F5C47" w:rsidRDefault="008F5C47" w:rsidP="008F5C47">
      <w:pPr>
        <w:spacing w:after="0" w:line="480" w:lineRule="auto"/>
        <w:jc w:val="center"/>
        <w:rPr>
          <w:rFonts w:ascii="Times New Roman" w:eastAsia="Times New Roman" w:hAnsi="Times New Roman" w:cs="Times New Roman"/>
          <w:b/>
          <w:sz w:val="24"/>
          <w:szCs w:val="24"/>
        </w:rPr>
      </w:pPr>
    </w:p>
    <w:p w:rsid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Urban Food Deserts</w:t>
      </w:r>
    </w:p>
    <w:p w:rsidR="008F5C47" w:rsidRDefault="008F5C47" w:rsidP="008F5C47">
      <w:pPr>
        <w:spacing w:after="0" w:line="480" w:lineRule="auto"/>
        <w:jc w:val="center"/>
        <w:rPr>
          <w:rFonts w:ascii="Times New Roman" w:eastAsia="Times New Roman" w:hAnsi="Times New Roman" w:cs="Times New Roman"/>
          <w:b/>
          <w:sz w:val="24"/>
          <w:szCs w:val="24"/>
        </w:rPr>
      </w:pPr>
    </w:p>
    <w:p w:rsidR="008F5C47" w:rsidRPr="003256CF" w:rsidRDefault="008F5C47" w:rsidP="008F5C47">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8F5C47" w:rsidRPr="00741DD9" w:rsidRDefault="008F5C47" w:rsidP="008F5C47">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rsidR="008F5C47" w:rsidRDefault="008F5C47" w:rsidP="008F5C47">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rsidR="008F5C47" w:rsidRDefault="008F5C47" w:rsidP="008F5C47">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rsidR="008F5C47" w:rsidRPr="008F5C47" w:rsidRDefault="008F5C47" w:rsidP="008F5C47">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rsidR="008F5C47" w:rsidRDefault="008F5C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lastRenderedPageBreak/>
        <w:t>Urban Food Deserts</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Urban food deserts determine what families are able to purchase, what children consume, and how health hazards accumulate with time. These problems are important in Memphis, Tennessee, where numerous residents depend on smaller grocery stores, ready-made food establishments, and seasonal markets to obtain their everyday food. These options are impacted by the government policy by granting permits, inspections, and regulations regarding the food that can be sold or sampled. Meanwhile, the disproportionate investment in neighborhoods has made healthier food more accessible to certain communities and more distant to others. An effective DEI strategy should focus on access, affordability and inclusion in the decision-making process, as well as the safety needs and the existing legal regulations. This paper will discuss urban food deserts in the context of intersectionality, offer policy recommendations based on DEI grounded in Memphis, outline an implementation strategy based on policy analysis, and evaluate the role of bias and trade-offs in the results, arguing that equitable food access necessitates structural reform and inclusive leadership.</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Part 1: Intersectionality and Public Policy.</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Urban food deserts are a social health and equity issue since geographic access to healthy food is disproportionate across communities. This imbalanced access is a social problem when the residents have fewer local resources to access healthy and affordable foods. A national study found that county-level food desert prevalence was associated with increased odds of preterm birth, with a dose-response pattern with the increase in food desert prevalence (Haley et al., 2024). This demonstrates that food deserts are not just places that appear awkward on a map, but are also those zones that are related to quantifiable health detriments. Thus, the social problem of urban food deserts is a public policy problem since governments have a role in the food </w:t>
      </w:r>
      <w:r w:rsidRPr="008F5C47">
        <w:rPr>
          <w:rFonts w:ascii="Times New Roman" w:eastAsia="Times New Roman" w:hAnsi="Times New Roman" w:cs="Times New Roman"/>
          <w:sz w:val="24"/>
          <w:szCs w:val="24"/>
        </w:rPr>
        <w:lastRenderedPageBreak/>
        <w:t xml:space="preserve">environment, as local supports, regulations, and investment choices shape the availability and distribution of food choices.  Additionally, food deserts revolve around public policy since policies shape the retail foodscape and the policies that govern the distribution of food to the population. Policy decisions relating to segregation and resource allocation determine the healthier or less healthy retail food landscape of neighborhoods. Retail food environments in more advantaged neighborhoods are linked to better health, and their findings are suggestive of a positive dose-response pattern in national data (Jordan &amp; </w:t>
      </w:r>
      <w:proofErr w:type="spellStart"/>
      <w:r w:rsidRPr="008F5C47">
        <w:rPr>
          <w:rFonts w:ascii="Times New Roman" w:eastAsia="Times New Roman" w:hAnsi="Times New Roman" w:cs="Times New Roman"/>
          <w:sz w:val="24"/>
          <w:szCs w:val="24"/>
        </w:rPr>
        <w:t>Burgoine</w:t>
      </w:r>
      <w:proofErr w:type="spellEnd"/>
      <w:r w:rsidRPr="008F5C47">
        <w:rPr>
          <w:rFonts w:ascii="Times New Roman" w:eastAsia="Times New Roman" w:hAnsi="Times New Roman" w:cs="Times New Roman"/>
          <w:sz w:val="24"/>
          <w:szCs w:val="24"/>
        </w:rPr>
        <w:t xml:space="preserve">, 2025). This means that the distribution of food access is not neutral, but rather in line with social advantage and disadvantage. </w:t>
      </w:r>
      <w:proofErr w:type="spellStart"/>
      <w:r>
        <w:rPr>
          <w:rStyle w:val="cursor-pointer"/>
          <w:rFonts w:ascii="Geist Fallback" w:hAnsi="Geist Fallback"/>
          <w:sz w:val="23"/>
          <w:szCs w:val="23"/>
        </w:rPr>
        <w:t>Obinna</w:t>
      </w:r>
      <w:proofErr w:type="spellEnd"/>
      <w:r>
        <w:rPr>
          <w:rStyle w:val="cursor-pointer"/>
          <w:rFonts w:ascii="Geist Fallback" w:hAnsi="Geist Fallback"/>
          <w:sz w:val="23"/>
          <w:szCs w:val="23"/>
        </w:rPr>
        <w:t xml:space="preserve"> (2021) provides an explanation that race, ethnicity, and immigrant status acted as intersectional determinants of the COVID 19 period.</w:t>
      </w:r>
      <w:r>
        <w:rPr>
          <w:rFonts w:ascii="Geist Fallback" w:hAnsi="Geist Fallback"/>
          <w:sz w:val="23"/>
          <w:szCs w:val="23"/>
        </w:rPr>
        <w:t xml:space="preserve"> </w:t>
      </w:r>
      <w:r>
        <w:rPr>
          <w:rStyle w:val="cursor-pointer"/>
          <w:rFonts w:ascii="Geist Fallback" w:hAnsi="Geist Fallback"/>
          <w:sz w:val="23"/>
          <w:szCs w:val="23"/>
        </w:rPr>
        <w:t>This implies that race was not the sole cause of health inequality.</w:t>
      </w:r>
      <w:r>
        <w:rPr>
          <w:rFonts w:ascii="Geist Fallback" w:hAnsi="Geist Fallback"/>
          <w:sz w:val="23"/>
          <w:szCs w:val="23"/>
        </w:rPr>
        <w:t xml:space="preserve"> </w:t>
      </w:r>
      <w:r>
        <w:rPr>
          <w:rStyle w:val="cursor-pointer"/>
          <w:rFonts w:ascii="Geist Fallback" w:hAnsi="Geist Fallback"/>
          <w:sz w:val="23"/>
          <w:szCs w:val="23"/>
        </w:rPr>
        <w:t>It was further determined by immigration status, working conditions, housing, detention and access to health care.</w:t>
      </w:r>
      <w:r>
        <w:rPr>
          <w:rFonts w:ascii="Geist Fallback" w:hAnsi="Geist Fallback"/>
          <w:sz w:val="23"/>
          <w:szCs w:val="23"/>
        </w:rPr>
        <w:t xml:space="preserve"> </w:t>
      </w:r>
      <w:r>
        <w:rPr>
          <w:rStyle w:val="cursor-pointer"/>
          <w:rFonts w:ascii="Geist Fallback" w:hAnsi="Geist Fallback"/>
          <w:sz w:val="23"/>
          <w:szCs w:val="23"/>
        </w:rPr>
        <w:t>For example, immigrant women and women of color were more likely to face exposure through essential work, caregiving roles, and limited access to support systems.</w:t>
      </w:r>
      <w:r>
        <w:rPr>
          <w:rStyle w:val="cursor-pointer"/>
          <w:rFonts w:ascii="Geist Fallback" w:hAnsi="Geist Fallback"/>
          <w:sz w:val="23"/>
          <w:szCs w:val="23"/>
        </w:rPr>
        <w:t xml:space="preserve"> </w:t>
      </w:r>
      <w:r w:rsidRPr="008F5C47">
        <w:rPr>
          <w:rFonts w:ascii="Times New Roman" w:eastAsia="Times New Roman" w:hAnsi="Times New Roman" w:cs="Times New Roman"/>
          <w:sz w:val="24"/>
          <w:szCs w:val="24"/>
        </w:rPr>
        <w:t>Thus, food deserts should be addressed as an equity problem involving policy that is deliberate and responsible by the government.</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Critical Race Theory</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Critical race theory argues in favor of race being a social and political structure that dictates the manner in which resources and opportunities are allocated. This definition suits food deserts well since it puts emphasis on structural racism as a cause of disparate neighborhood conditions. The results of a scoping review showed that the studies, which correlated indicators of structural racism like redlining, gentrification, and racial segregation with the access of food retailers, repeatedly revealed significant relationships (Singleton et al., 2023). This indicates that race is a mechanism that works based on institutions and past policy decisions that influence the current access to healthy food. Thus, a critical race theory definition would consider food deserts </w:t>
      </w:r>
      <w:r w:rsidRPr="008F5C47">
        <w:rPr>
          <w:rFonts w:ascii="Times New Roman" w:eastAsia="Times New Roman" w:hAnsi="Times New Roman" w:cs="Times New Roman"/>
          <w:sz w:val="24"/>
          <w:szCs w:val="24"/>
        </w:rPr>
        <w:lastRenderedPageBreak/>
        <w:t>to be the product of structural systems, rather than merely the consequence of personal shopping behavior.</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Intersectionality of Class, Gender, and Race Urban Food Deserts</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Food deserts need to be analyzed through intersectionality due to the possibility of the combination of race, class, and gender influencing exposure to risk and supporting access. The patterns of residence are frequently racialized, and the differences in classes are based on the neighborhood resources. In national segregation analysis, indicators of racialized economic segregation were utilized, and it was discovered that more privileged regions were more likely to have healthier retail food settings (Jordan &amp; </w:t>
      </w:r>
      <w:proofErr w:type="spellStart"/>
      <w:r w:rsidRPr="008F5C47">
        <w:rPr>
          <w:rFonts w:ascii="Times New Roman" w:eastAsia="Times New Roman" w:hAnsi="Times New Roman" w:cs="Times New Roman"/>
          <w:sz w:val="24"/>
          <w:szCs w:val="24"/>
        </w:rPr>
        <w:t>Burgoine</w:t>
      </w:r>
      <w:proofErr w:type="spellEnd"/>
      <w:r w:rsidRPr="008F5C47">
        <w:rPr>
          <w:rFonts w:ascii="Times New Roman" w:eastAsia="Times New Roman" w:hAnsi="Times New Roman" w:cs="Times New Roman"/>
          <w:sz w:val="24"/>
          <w:szCs w:val="24"/>
        </w:rPr>
        <w:t>, 2025). This shows that food deserts are a subset of larger systems that connect wealth, race, and neighborhood opportunity. Moreover, intersectionality relates food deserts to gendered health outcomes as well, particularly in terms of pregnancy and birth outcomes. Nutrition access may also have an impact on maternal health and nutritional risk pathways. Food desert residence was linked to greater risks of preterm birth, and the analysis demonstrated that Black birthing individuals had the worst odds, even when patterns were adjusted across groups (Haley et al., 2024). This means that the food environment can interplay with racial injustices and gendered health conditions in such a way that they increase the risk for particular communities. Thus, an intersectional approach is necessary as it connects place-based food access to structural inequality and health disparities associated with gender.</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Race and Urban Food Deserts</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A definition of race based on critical race theory helps to clarify that food deserts are not natural market forces but instead a choice in structure. In addition, this view focuses on how segregation and structural racism may influence the location and nature of food retailers. Results of a scoping review showed that studies with indicators of structural racism all reported </w:t>
      </w:r>
      <w:r w:rsidRPr="008F5C47">
        <w:rPr>
          <w:rFonts w:ascii="Times New Roman" w:eastAsia="Times New Roman" w:hAnsi="Times New Roman" w:cs="Times New Roman"/>
          <w:sz w:val="24"/>
          <w:szCs w:val="24"/>
        </w:rPr>
        <w:lastRenderedPageBreak/>
        <w:t>significant findings of the indication of structural racism correlating with access to food retailers, but measures varied across the studies (Singleton et al., 2023). This implies that racism may be institutionalized in systems that influence community infrastructure over time, such as food access. Similarly, a critical race theory approach emphasizes the fact that policy remedies should take into account the rules that guide options of accessing food and participation. The Tennessee state law defines the farmers' market food units and provides statewide permitting regulations, with a clause that the local agencies cannot have more strict standards than the state ones (Tennessee General Assembly, 2023). This shows that the legal framework determines what local governments can and cannot alter, and how they can regulate food access activities. Thus, race as a structural element justifies the necessity of Memphis policy strategies to widen access and operate within legal boundaries and mitigate burdens that disproportionately affect communities.</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Urban Food Deserts, Race, and Gender</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The relationship between race and gender is evident when food deserts are associated with maternal and child health. Biology influences the pregnancy outcome, but also social circumstances, including inaccessibility to healthy food and chronic stress. Haley et al. (2024) reviewed national birth data and discovered that the odds of preterm birth were higher in counties with a larger proportion of food desert regions. The study by Haley et al. (2024) also highlighted that the risk of preterm birth remained the greatest in black birthing people. This proves that food access policies are maternal health equity policies as well, since an increase in food access can help to have healthier pregnancies and higher birth outcomes.  Moreover, the issues of race and gender are even more pronounced when food insecurity is factored in along with access to public assistance. Samuel et al. (2023) examined SNAP-eligible households and </w:t>
      </w:r>
      <w:r w:rsidRPr="008F5C47">
        <w:rPr>
          <w:rFonts w:ascii="Times New Roman" w:eastAsia="Times New Roman" w:hAnsi="Times New Roman" w:cs="Times New Roman"/>
          <w:sz w:val="24"/>
          <w:szCs w:val="24"/>
        </w:rPr>
        <w:lastRenderedPageBreak/>
        <w:t>determined that there were racial differences in food insecurity between households which were not in SNAP, but this was not the case when considering households that were in SNAP. This implies that access to programs is important since SNAP can only alleviate inequality when qualified families have access to and can enroll in the programs. Consequently, the convergence of race and gender underpins policy initiatives that increase access to food and, at the same time, tackle the conditions that cause the unequal food environments.</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Part II: Applying a DEI Lens to Policy</w:t>
      </w:r>
    </w:p>
    <w:p w:rsid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Equity may be enhanced by increasing farmers' markets and mobile market-style options in underserved communities in Memphis. Such points of access can make healthier food more accessible to the residents with fewer retail options. According to the Tennessee General Assembly (2023), vendors at farmer markets do not require an additional license or permit solely to provide samples, provided they adhere to safety regulations like maintaining clean surfaces, maintaining a distance between hands and food, and wearing sneeze guards or coverings. This proves that the state system can accommodate involvement and enable the customers to sample food without introducing additional licensing restrictions.  In addition, inclusion also hinges on making compliance cost-effective since small vendors usually bear the expense of permits, equipment and inspection preparation. In low-resource societies, these expenditures are of greater importance since small-scale vendors play a significant role in the access to food. According to Shelby County Health Department (n.d.), there is a </w:t>
      </w:r>
      <w:proofErr w:type="gramStart"/>
      <w:r w:rsidRPr="008F5C47">
        <w:rPr>
          <w:rFonts w:ascii="Times New Roman" w:eastAsia="Times New Roman" w:hAnsi="Times New Roman" w:cs="Times New Roman"/>
          <w:sz w:val="24"/>
          <w:szCs w:val="24"/>
        </w:rPr>
        <w:t>farmers</w:t>
      </w:r>
      <w:proofErr w:type="gramEnd"/>
      <w:r w:rsidRPr="008F5C47">
        <w:rPr>
          <w:rFonts w:ascii="Times New Roman" w:eastAsia="Times New Roman" w:hAnsi="Times New Roman" w:cs="Times New Roman"/>
          <w:sz w:val="24"/>
          <w:szCs w:val="24"/>
        </w:rPr>
        <w:t xml:space="preserve"> market facility permit fee of $300 and seasonal vendor permit options of $150 with sampling and $50 without sampling, and unambiguous guidelines on sampling and temperature regulation. This implies that although there may be the existence of markets, participation may be constrained as the costs and requirements may be too difficult to realize without assistance. Thus, a Memphis plan with a </w:t>
      </w:r>
      <w:r w:rsidRPr="008F5C47">
        <w:rPr>
          <w:rFonts w:ascii="Times New Roman" w:eastAsia="Times New Roman" w:hAnsi="Times New Roman" w:cs="Times New Roman"/>
          <w:sz w:val="24"/>
          <w:szCs w:val="24"/>
        </w:rPr>
        <w:lastRenderedPageBreak/>
        <w:t>DEI emphasis should contain supports like fee aid, shared equipment, and training in order to ensure that food safety regulations do not inadvertently decrease access in the most in need communities.</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 xml:space="preserve">Local Government Barriers to Implementation </w:t>
      </w:r>
    </w:p>
    <w:p w:rsid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Enforcement and administrative capacity are often barriers to implementation, with numerous policy ideas needing to be staffed, audited, and subjected to continuous audit. Even good policies will not work or work differently in neighborhoods without the proper capacity. Implementation barriers may choke out good policy since it is only rules that are relevant when a city has such resources and manpower as to enforce the rules regularly. According to </w:t>
      </w:r>
      <w:proofErr w:type="spellStart"/>
      <w:r w:rsidRPr="008F5C47">
        <w:rPr>
          <w:rFonts w:ascii="Times New Roman" w:eastAsia="Times New Roman" w:hAnsi="Times New Roman" w:cs="Times New Roman"/>
          <w:sz w:val="24"/>
          <w:szCs w:val="24"/>
        </w:rPr>
        <w:t>Sundermeir</w:t>
      </w:r>
      <w:proofErr w:type="spellEnd"/>
      <w:r w:rsidRPr="008F5C47">
        <w:rPr>
          <w:rFonts w:ascii="Times New Roman" w:eastAsia="Times New Roman" w:hAnsi="Times New Roman" w:cs="Times New Roman"/>
          <w:sz w:val="24"/>
          <w:szCs w:val="24"/>
        </w:rPr>
        <w:t xml:space="preserve"> et al. (2024), community members and policy makers expressed worries regarding the capacity of the city and the financial resources required to enforce the policies, and they talked about viable means of linking ordinances to permits and leases. This implies that Memphis is likely to experience the same issues when it tries to implement more aggressive retail laws or vendor mandates without increasing its resources to inspect and enforce. Also, compliance may present a significant obstacle since food safety guidelines are complex and small vendors might lack equipment and training to comply readily. Shelby County Health Department (n.d.) outlines expectations related to safe food handling, such as time and temperature control food expectations, handwashing choices, the use of a sanitizer, and expectations related to inspection in connection with sampling and food sales. It proves that local implementation does not only imply allowing a market to be, but also providing safe practices due to the tools and procedures that vendors have to perform. Thus, the barriers in Memphis will probably be the willingness of vendors, training requirements, and the absence of a common infrastructure that may reduce the compliance cost. </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lastRenderedPageBreak/>
        <w:t xml:space="preserve">Existing Legislation Influencing Implementation </w:t>
      </w:r>
    </w:p>
    <w:p w:rsidR="008F5C47" w:rsidRPr="008F5C47" w:rsidRDefault="008F5C47" w:rsidP="008F5C47">
      <w:pPr>
        <w:spacing w:after="0" w:line="480" w:lineRule="auto"/>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Tennessee law determines what Memphis and Shelby County can demand, particularly in the </w:t>
      </w:r>
      <w:proofErr w:type="gramStart"/>
      <w:r w:rsidRPr="008F5C47">
        <w:rPr>
          <w:rFonts w:ascii="Times New Roman" w:eastAsia="Times New Roman" w:hAnsi="Times New Roman" w:cs="Times New Roman"/>
          <w:sz w:val="24"/>
          <w:szCs w:val="24"/>
        </w:rPr>
        <w:t>farmers</w:t>
      </w:r>
      <w:proofErr w:type="gramEnd"/>
      <w:r w:rsidRPr="008F5C47">
        <w:rPr>
          <w:rFonts w:ascii="Times New Roman" w:eastAsia="Times New Roman" w:hAnsi="Times New Roman" w:cs="Times New Roman"/>
          <w:sz w:val="24"/>
          <w:szCs w:val="24"/>
        </w:rPr>
        <w:t xml:space="preserve"> market food units and sampling practices. According to the Tennessee General Assembly (2023), a local health department or a municipal or county legislative body may not maintain a permitting or operating requirement of a </w:t>
      </w:r>
      <w:proofErr w:type="gramStart"/>
      <w:r w:rsidRPr="008F5C47">
        <w:rPr>
          <w:rFonts w:ascii="Times New Roman" w:eastAsia="Times New Roman" w:hAnsi="Times New Roman" w:cs="Times New Roman"/>
          <w:sz w:val="24"/>
          <w:szCs w:val="24"/>
        </w:rPr>
        <w:t>farmers</w:t>
      </w:r>
      <w:proofErr w:type="gramEnd"/>
      <w:r w:rsidRPr="008F5C47">
        <w:rPr>
          <w:rFonts w:ascii="Times New Roman" w:eastAsia="Times New Roman" w:hAnsi="Times New Roman" w:cs="Times New Roman"/>
          <w:sz w:val="24"/>
          <w:szCs w:val="24"/>
        </w:rPr>
        <w:t xml:space="preserve"> market food unit that is stricter than the requirements provided in the state law. It demonstrates that Memphis will be able to sustain farmers' market food units, but cannot impose any additional local requirements that are stricter than those set by the state, which restricts the ability of local leaders to modify requirements.  Moreover, local regulations continue to heavily influence the day-to-day operation of markets since they define the types of permits, the charges, and the scope of what is included in a fundamental farmers' market permit. According to the Shelby County Health Department (n.d.), only fruits, vegetables, melons, berries, or nuts are covered by the farmers market facility permit, and all other foods sold at farmers markets need another health permit. Shelby County Health Department (n.d.) also outlines the process of seasonal vendor permits and enforcement measures like citation and revocation of permits due to lack of compliance. This means that Memphis initiatives to utilize farmers markets to solve food deserts should involve articulating permitting avenues and viable ways to help vendors who may prefer to sell foods other than produce, such as prepared or processed foods, without violating. Thus, the legal inventory underlies a policy strategy which enhances access and develops structured compliance assistance instead of assuming that farmers' markets will resolve food deserts independently. </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Part III: Policy Analysis Strategy for Social Change</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A powerful policy analysis plan must start with describing the Memphis food desert issue as a structural problem and not as a problem of choice. This framing maintains a policy target of </w:t>
      </w:r>
      <w:r w:rsidRPr="008F5C47">
        <w:rPr>
          <w:rFonts w:ascii="Times New Roman" w:eastAsia="Times New Roman" w:hAnsi="Times New Roman" w:cs="Times New Roman"/>
          <w:sz w:val="24"/>
          <w:szCs w:val="24"/>
        </w:rPr>
        <w:lastRenderedPageBreak/>
        <w:t xml:space="preserve">unequal environments and unequal access as opposed to individuals being held responsible for limited choices. It turned out that the odds ratio of preterm birth increased in a dose-response mode with an increase in the prevalence of food deserts on a county-level (Haley et al., 2024). This proves that food deserts can be linked to dire health outcomes that contribute to the argument why the intervention should be offered at the level of the population and not voluntary activities. Additionally, an effective strategy needs to put in place options that are both legally feasible in Tennessee and locally feasible in Memphis and Shelby County. Feasibility entails incorporating the proposed interventions rather than ignoring the current permit and inspection system. The Tennessee law offers a permit route to food units in the farmers’ market, a pre-operation inspection, and prohibits local governments from setting permitting and operating terms that are more restrictive than the state's (Tennessee General Assembly, 2023). That means local innovation should be designed at the state level, yet it should pursue equity in support and incentives. </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Data to Support Strategy</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Data should inform problem targeting and assessment, such as where access gaps are most urgent, and the intervention with more positive outcomes. Multiple data sources are used to improve credibility and support accountability. The research determined that the more advantaged racialized economic structure a given region had, the more likely it was to have a healthier retail food environment, reflecting a propensity for structural privilege (Jordan &amp; </w:t>
      </w:r>
      <w:proofErr w:type="spellStart"/>
      <w:r w:rsidRPr="008F5C47">
        <w:rPr>
          <w:rFonts w:ascii="Times New Roman" w:eastAsia="Times New Roman" w:hAnsi="Times New Roman" w:cs="Times New Roman"/>
          <w:sz w:val="24"/>
          <w:szCs w:val="24"/>
        </w:rPr>
        <w:t>Burgoine</w:t>
      </w:r>
      <w:proofErr w:type="spellEnd"/>
      <w:r w:rsidRPr="008F5C47">
        <w:rPr>
          <w:rFonts w:ascii="Times New Roman" w:eastAsia="Times New Roman" w:hAnsi="Times New Roman" w:cs="Times New Roman"/>
          <w:sz w:val="24"/>
          <w:szCs w:val="24"/>
        </w:rPr>
        <w:t xml:space="preserve">, 2025). This implies that Memphis must incorporate neighborhood-based indicators of segregation, poverty, and retail mix to determine areas that should be targeted in intervention. Likewise, the data to be used in the implementation process should track the growth of legal access points, such as the farmers' markets and licensed vendors, in the most vulnerable </w:t>
      </w:r>
      <w:r w:rsidRPr="008F5C47">
        <w:rPr>
          <w:rFonts w:ascii="Times New Roman" w:eastAsia="Times New Roman" w:hAnsi="Times New Roman" w:cs="Times New Roman"/>
          <w:sz w:val="24"/>
          <w:szCs w:val="24"/>
        </w:rPr>
        <w:lastRenderedPageBreak/>
        <w:t>locations. Local permitting data could guide equity assessment since it offers tangible clues regarding the participants and increasing access to legal food. The Health Department of Shelby County (n.d.) explains the permits for farmers' markets and seasonal vendor permits, as well as inspection, investigation of complaints, and noncompliance enforcement. This demonstrates that Memphis can utilize prior administrative data to quantify fairness, including whether or not permits are growing within underserved communities and whether compliance assistance diminishes infractions in the long term. Thus, a Memphis assessment program must monitor permits by region, proportion of vendors taking part, results of inspections and violation trends to analyze whether access is growing in a fair manner.</w:t>
      </w:r>
    </w:p>
    <w:p w:rsidR="008F5C47" w:rsidRPr="008F5C47" w:rsidRDefault="008F5C47" w:rsidP="008F5C47">
      <w:pPr>
        <w:spacing w:after="0" w:line="480" w:lineRule="auto"/>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 xml:space="preserve">Methods and </w:t>
      </w:r>
      <w:r>
        <w:rPr>
          <w:rFonts w:ascii="Times New Roman" w:eastAsia="Times New Roman" w:hAnsi="Times New Roman" w:cs="Times New Roman"/>
          <w:b/>
          <w:sz w:val="24"/>
          <w:szCs w:val="24"/>
        </w:rPr>
        <w:t>Justification of Implementation</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Shared leadership should be the first to be implemented since permanent change should involve the residents and local stakeholders to influence the solutions that will impact their neighborhoods. Consultation is not a sufficient way to achieve equity through meaningful inclusion. According to Kaur et al. (2025), more powerful types of community engagement, such as shared leadership, corresponded to the coverage of a greater number of equity domains in food retail interventions. This implies that Memphis needs to officially engage residents, vendors and community groups in making decisions regarding where markets are set up, what foods are given priority and what supports are made to ease barriers to participation. Moreover, it should be implemented with a systems approach, which enhances distribution and stocking routes, since access issues usually start prior to the food being on the shelf. Education of the consumer is not sufficient to address supply issues when small shops do not have access to affordable, healthier inventory. </w:t>
      </w:r>
      <w:proofErr w:type="spellStart"/>
      <w:r w:rsidRPr="008F5C47">
        <w:rPr>
          <w:rFonts w:ascii="Times New Roman" w:eastAsia="Times New Roman" w:hAnsi="Times New Roman" w:cs="Times New Roman"/>
          <w:sz w:val="24"/>
          <w:szCs w:val="24"/>
        </w:rPr>
        <w:t>Gitelsohn</w:t>
      </w:r>
      <w:proofErr w:type="spellEnd"/>
      <w:r w:rsidRPr="008F5C47">
        <w:rPr>
          <w:rFonts w:ascii="Times New Roman" w:eastAsia="Times New Roman" w:hAnsi="Times New Roman" w:cs="Times New Roman"/>
          <w:sz w:val="24"/>
          <w:szCs w:val="24"/>
        </w:rPr>
        <w:t xml:space="preserve"> et al. (2022) reported a multilevel intervention to implement collective purchasing and delivery to bring foods produced and sold by wholesalers to corner stores, </w:t>
      </w:r>
      <w:r w:rsidRPr="008F5C47">
        <w:rPr>
          <w:rFonts w:ascii="Times New Roman" w:eastAsia="Times New Roman" w:hAnsi="Times New Roman" w:cs="Times New Roman"/>
          <w:sz w:val="24"/>
          <w:szCs w:val="24"/>
        </w:rPr>
        <w:lastRenderedPageBreak/>
        <w:t>evaluated on the basis of suppliers, stores, and consumers. This shows that Memphis can amalgamate the retail approaches with supply chain partnerships in a way that healthier stocking is viable and can be maintained. Thus, Memphis implementation must be a combination of market growth and vendor assistance with distribution-oriented partnerships that lower the cost threshold and stabilize the availability of healthy foods.</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Part IV: Activating Inclusion in Public Policy</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The urban food deserts have been created through structural racism, which contributes to the accumulation of investments and the long-term lack of resources in a community. Structural racism is manifested when past and geographic markers align with contemporary access disparities. According to Singleton et al. (2023), the research that identified the connection between structural racism indicators, including redlining, segregation, and gentrification, and access to food retailers, had consistently significant results. This implies that food deserts are institutional patterns, which are not just a result of consumer </w:t>
      </w:r>
      <w:proofErr w:type="spellStart"/>
      <w:r w:rsidRPr="008F5C47">
        <w:rPr>
          <w:rFonts w:ascii="Times New Roman" w:eastAsia="Times New Roman" w:hAnsi="Times New Roman" w:cs="Times New Roman"/>
          <w:sz w:val="24"/>
          <w:szCs w:val="24"/>
        </w:rPr>
        <w:t>behaviour</w:t>
      </w:r>
      <w:proofErr w:type="spellEnd"/>
      <w:r w:rsidRPr="008F5C47">
        <w:rPr>
          <w:rFonts w:ascii="Times New Roman" w:eastAsia="Times New Roman" w:hAnsi="Times New Roman" w:cs="Times New Roman"/>
          <w:sz w:val="24"/>
          <w:szCs w:val="24"/>
        </w:rPr>
        <w:t xml:space="preserve"> at any given time, but are a product of the structuring of opportunities over time. Thus, Memphis policy must consider food deserts as a structural equity challenge and must not justify responsibility by placing the burden on the limited options residents have.</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Also, the suggested recommendations can deliver tangible results by improving access to healthier foods and decreasing food insecurity inequalities. The results can be monitored by the number of people participating in the program and by the neighborhood-level access point changes. Samuel et al. (2023) concluded that racial food insecurity differences were observed among SNAP-eligible households who were not enrolled in SNAP, but there were none in SNAP participants. This illustrates how inequity can be minimized by providing better access and participation in the programs when the qualified households can access and benefit. Thus, </w:t>
      </w:r>
      <w:r w:rsidRPr="008F5C47">
        <w:rPr>
          <w:rFonts w:ascii="Times New Roman" w:eastAsia="Times New Roman" w:hAnsi="Times New Roman" w:cs="Times New Roman"/>
          <w:sz w:val="24"/>
          <w:szCs w:val="24"/>
        </w:rPr>
        <w:lastRenderedPageBreak/>
        <w:t>Memphis can enhance equity by enhancing enrollment support, minimizing administrative hindrances and matching program access work with place-based access enhancements.</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Moreover, the issue of trade-offs needs to be discussed openly since equity policies may bring about costs and enforcement capacity, and food safety safeguards may present a burden to the vendors without support. Shelby County Health Department (n.d.) lists the permit fees and specific sampling and temperature control requirements, meaning that the legal involvement presupposes equipment, training, and adherence checks. This shows that unsubsidized or collectively constructed farmers' markets would result in marginalizing small vendors, restricting access, or increasing prices in a manner that diminishes the equity benefits. Hence, Memphis ought to combine regulation with support, including fee relief, common handwashing and cold storage facilities, and technical help so that safety measures can safeguard the population without diminishing access.</w:t>
      </w:r>
    </w:p>
    <w:p w:rsidR="008F5C47" w:rsidRPr="008F5C47"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Similarly, leadership policies must aim at integrated governance at the state, county, and city levels since it can only be implemented based on uniform standards and distinct roles. According to the Tennessee General Assembly (2023), local governments and local health</w:t>
      </w:r>
      <w:r>
        <w:rPr>
          <w:rFonts w:ascii="Times New Roman" w:eastAsia="Times New Roman" w:hAnsi="Times New Roman" w:cs="Times New Roman"/>
          <w:sz w:val="24"/>
          <w:szCs w:val="24"/>
        </w:rPr>
        <w:t xml:space="preserve"> departments cannot have </w:t>
      </w:r>
      <w:r w:rsidRPr="008F5C47">
        <w:rPr>
          <w:rFonts w:ascii="Times New Roman" w:eastAsia="Times New Roman" w:hAnsi="Times New Roman" w:cs="Times New Roman"/>
          <w:sz w:val="24"/>
          <w:szCs w:val="24"/>
        </w:rPr>
        <w:t>strict permitting and operating standard of farmers' market food units compared to state standards. This demonstrates that Memphis leaders should operate within state limits and coordinate with county agencies that handle permits, inspections, and enforcement procedures. Consequently, the inclusive leadership in Memphis must focus on cross-agency coordination, transparent decision-making, and shared leadership with the community partners to ensure that policy is not only legally compliant but also equity-promoting.</w:t>
      </w:r>
    </w:p>
    <w:p w:rsidR="008F5C47" w:rsidRP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t>Conclusion</w:t>
      </w:r>
    </w:p>
    <w:p w:rsidR="00240D01" w:rsidRDefault="008F5C47" w:rsidP="008F5C47">
      <w:pPr>
        <w:spacing w:after="0" w:line="480" w:lineRule="auto"/>
        <w:ind w:firstLine="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lastRenderedPageBreak/>
        <w:t>Food deserts in Memphis are not just an absence of local grocery stores. They are created by place-based inequality, the scattering of opportunity in neighborhoods and state systems that regulate the sale and access to food. The DEI strategy means focusing on structural aspects, the use of data, and strategies that will foster safety and inclusion. Farmers' markets and other vendors who are permitted and allowed can lead to better access when the rules are clear, costs are considered, and the voice of the community is involved in the decision-making process. The food assistance programs can decrease the disparity as long as eligible households can access the program and utilize benefits without undue impediments. Thus, policy leaders must engage in trade-offs on the enforcement capacity, vendor compliance burden, and state law-imposed restrictions. The most sustainable steps are those which entail governmental coordination at various levels, investment in viable supports, and the incorporation of community members as co-creators of the policy and its review.</w:t>
      </w:r>
    </w:p>
    <w:p w:rsidR="008F5C47" w:rsidRDefault="008F5C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F5C47" w:rsidRDefault="008F5C47" w:rsidP="008F5C47">
      <w:pPr>
        <w:spacing w:after="0" w:line="480" w:lineRule="auto"/>
        <w:jc w:val="center"/>
        <w:rPr>
          <w:rFonts w:ascii="Times New Roman" w:eastAsia="Times New Roman" w:hAnsi="Times New Roman" w:cs="Times New Roman"/>
          <w:b/>
          <w:sz w:val="24"/>
          <w:szCs w:val="24"/>
        </w:rPr>
      </w:pPr>
      <w:r w:rsidRPr="008F5C47">
        <w:rPr>
          <w:rFonts w:ascii="Times New Roman" w:eastAsia="Times New Roman" w:hAnsi="Times New Roman" w:cs="Times New Roman"/>
          <w:b/>
          <w:sz w:val="24"/>
          <w:szCs w:val="24"/>
        </w:rPr>
        <w:lastRenderedPageBreak/>
        <w:t>References</w:t>
      </w:r>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proofErr w:type="spellStart"/>
      <w:r w:rsidRPr="008F5C47">
        <w:rPr>
          <w:rFonts w:ascii="Times New Roman" w:eastAsia="Times New Roman" w:hAnsi="Times New Roman" w:cs="Times New Roman"/>
          <w:sz w:val="24"/>
          <w:szCs w:val="24"/>
        </w:rPr>
        <w:t>Gittelsohn</w:t>
      </w:r>
      <w:proofErr w:type="spellEnd"/>
      <w:r w:rsidRPr="008F5C47">
        <w:rPr>
          <w:rFonts w:ascii="Times New Roman" w:eastAsia="Times New Roman" w:hAnsi="Times New Roman" w:cs="Times New Roman"/>
          <w:sz w:val="24"/>
          <w:szCs w:val="24"/>
        </w:rPr>
        <w:t xml:space="preserve">, J., Lewis, E. C., Martin, N. M., Zhu, S., Poirier, L., </w:t>
      </w:r>
      <w:proofErr w:type="spellStart"/>
      <w:r w:rsidRPr="008F5C47">
        <w:rPr>
          <w:rFonts w:ascii="Times New Roman" w:eastAsia="Times New Roman" w:hAnsi="Times New Roman" w:cs="Times New Roman"/>
          <w:sz w:val="24"/>
          <w:szCs w:val="24"/>
        </w:rPr>
        <w:t>Dongen</w:t>
      </w:r>
      <w:proofErr w:type="spellEnd"/>
      <w:r w:rsidRPr="008F5C47">
        <w:rPr>
          <w:rFonts w:ascii="Times New Roman" w:eastAsia="Times New Roman" w:hAnsi="Times New Roman" w:cs="Times New Roman"/>
          <w:sz w:val="24"/>
          <w:szCs w:val="24"/>
        </w:rPr>
        <w:t xml:space="preserve">, E. J. I. V., Ross, A., </w:t>
      </w:r>
      <w:proofErr w:type="spellStart"/>
      <w:r w:rsidRPr="008F5C47">
        <w:rPr>
          <w:rFonts w:ascii="Times New Roman" w:eastAsia="Times New Roman" w:hAnsi="Times New Roman" w:cs="Times New Roman"/>
          <w:sz w:val="24"/>
          <w:szCs w:val="24"/>
        </w:rPr>
        <w:t>Sundermeir</w:t>
      </w:r>
      <w:proofErr w:type="spellEnd"/>
      <w:r w:rsidRPr="008F5C47">
        <w:rPr>
          <w:rFonts w:ascii="Times New Roman" w:eastAsia="Times New Roman" w:hAnsi="Times New Roman" w:cs="Times New Roman"/>
          <w:sz w:val="24"/>
          <w:szCs w:val="24"/>
        </w:rPr>
        <w:t xml:space="preserve">, S. M., </w:t>
      </w:r>
      <w:proofErr w:type="spellStart"/>
      <w:r w:rsidRPr="008F5C47">
        <w:rPr>
          <w:rFonts w:ascii="Times New Roman" w:eastAsia="Times New Roman" w:hAnsi="Times New Roman" w:cs="Times New Roman"/>
          <w:sz w:val="24"/>
          <w:szCs w:val="24"/>
        </w:rPr>
        <w:t>Labrique</w:t>
      </w:r>
      <w:proofErr w:type="spellEnd"/>
      <w:r w:rsidRPr="008F5C47">
        <w:rPr>
          <w:rFonts w:ascii="Times New Roman" w:eastAsia="Times New Roman" w:hAnsi="Times New Roman" w:cs="Times New Roman"/>
          <w:sz w:val="24"/>
          <w:szCs w:val="24"/>
        </w:rPr>
        <w:t xml:space="preserve">, A. B., </w:t>
      </w:r>
      <w:proofErr w:type="spellStart"/>
      <w:r w:rsidRPr="008F5C47">
        <w:rPr>
          <w:rFonts w:ascii="Times New Roman" w:eastAsia="Times New Roman" w:hAnsi="Times New Roman" w:cs="Times New Roman"/>
          <w:sz w:val="24"/>
          <w:szCs w:val="24"/>
        </w:rPr>
        <w:t>Reznar</w:t>
      </w:r>
      <w:proofErr w:type="spellEnd"/>
      <w:r w:rsidRPr="008F5C47">
        <w:rPr>
          <w:rFonts w:ascii="Times New Roman" w:eastAsia="Times New Roman" w:hAnsi="Times New Roman" w:cs="Times New Roman"/>
          <w:sz w:val="24"/>
          <w:szCs w:val="24"/>
        </w:rPr>
        <w:t xml:space="preserve">, M. M., </w:t>
      </w:r>
      <w:proofErr w:type="spellStart"/>
      <w:r w:rsidRPr="008F5C47">
        <w:rPr>
          <w:rFonts w:ascii="Times New Roman" w:eastAsia="Times New Roman" w:hAnsi="Times New Roman" w:cs="Times New Roman"/>
          <w:sz w:val="24"/>
          <w:szCs w:val="24"/>
        </w:rPr>
        <w:t>Igusa</w:t>
      </w:r>
      <w:proofErr w:type="spellEnd"/>
      <w:r w:rsidRPr="008F5C47">
        <w:rPr>
          <w:rFonts w:ascii="Times New Roman" w:eastAsia="Times New Roman" w:hAnsi="Times New Roman" w:cs="Times New Roman"/>
          <w:sz w:val="24"/>
          <w:szCs w:val="24"/>
        </w:rPr>
        <w:t xml:space="preserve">, T., &amp; Trujillo, A. J. (2022). The Baltimore Urban Food Distribution (BUD) App: Study Protocol to Assess the Feasibility of a Food Systems Intervention. </w:t>
      </w:r>
      <w:r w:rsidRPr="008F5C47">
        <w:rPr>
          <w:rFonts w:ascii="Times New Roman" w:eastAsia="Times New Roman" w:hAnsi="Times New Roman" w:cs="Times New Roman"/>
          <w:i/>
          <w:iCs/>
          <w:sz w:val="24"/>
          <w:szCs w:val="24"/>
        </w:rPr>
        <w:t>IJERPH</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19</w:t>
      </w:r>
      <w:r w:rsidRPr="008F5C47">
        <w:rPr>
          <w:rFonts w:ascii="Times New Roman" w:eastAsia="Times New Roman" w:hAnsi="Times New Roman" w:cs="Times New Roman"/>
          <w:sz w:val="24"/>
          <w:szCs w:val="24"/>
        </w:rPr>
        <w:t xml:space="preserve">(15), 1–17. </w:t>
      </w:r>
      <w:hyperlink r:id="rId7" w:history="1">
        <w:r w:rsidRPr="008F5C47">
          <w:rPr>
            <w:rFonts w:ascii="Times New Roman" w:eastAsia="Times New Roman" w:hAnsi="Times New Roman" w:cs="Times New Roman"/>
            <w:color w:val="0000FF"/>
            <w:sz w:val="24"/>
            <w:szCs w:val="24"/>
            <w:u w:val="single"/>
          </w:rPr>
          <w:t>https://ideas.repec.org//a/gam/jijerp/v19y2022i15p9138-d872417.html</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Haley, C. O., Singleton, C. R., King, L. E., Dyer, L., </w:t>
      </w:r>
      <w:proofErr w:type="spellStart"/>
      <w:r w:rsidRPr="008F5C47">
        <w:rPr>
          <w:rFonts w:ascii="Times New Roman" w:eastAsia="Times New Roman" w:hAnsi="Times New Roman" w:cs="Times New Roman"/>
          <w:sz w:val="24"/>
          <w:szCs w:val="24"/>
        </w:rPr>
        <w:t>Theall</w:t>
      </w:r>
      <w:proofErr w:type="spellEnd"/>
      <w:r w:rsidRPr="008F5C47">
        <w:rPr>
          <w:rFonts w:ascii="Times New Roman" w:eastAsia="Times New Roman" w:hAnsi="Times New Roman" w:cs="Times New Roman"/>
          <w:sz w:val="24"/>
          <w:szCs w:val="24"/>
        </w:rPr>
        <w:t xml:space="preserve">, K. P., &amp; Wallace, M. (2024). Association of Food Desert Residency and Preterm Birth in the United States. </w:t>
      </w:r>
      <w:r w:rsidRPr="008F5C47">
        <w:rPr>
          <w:rFonts w:ascii="Times New Roman" w:eastAsia="Times New Roman" w:hAnsi="Times New Roman" w:cs="Times New Roman"/>
          <w:i/>
          <w:iCs/>
          <w:sz w:val="24"/>
          <w:szCs w:val="24"/>
        </w:rPr>
        <w:t>International Journal of Environmental Research and Public Health</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21</w:t>
      </w:r>
      <w:r w:rsidRPr="008F5C47">
        <w:rPr>
          <w:rFonts w:ascii="Times New Roman" w:eastAsia="Times New Roman" w:hAnsi="Times New Roman" w:cs="Times New Roman"/>
          <w:sz w:val="24"/>
          <w:szCs w:val="24"/>
        </w:rPr>
        <w:t xml:space="preserve">(4). </w:t>
      </w:r>
      <w:hyperlink r:id="rId8" w:history="1">
        <w:r w:rsidRPr="008F5C47">
          <w:rPr>
            <w:rFonts w:ascii="Times New Roman" w:eastAsia="Times New Roman" w:hAnsi="Times New Roman" w:cs="Times New Roman"/>
            <w:color w:val="0000FF"/>
            <w:sz w:val="24"/>
            <w:szCs w:val="24"/>
            <w:u w:val="single"/>
          </w:rPr>
          <w:t>https://doi.org/10.3390/ijerph21040412</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Jordan, M. C., &amp; </w:t>
      </w:r>
      <w:proofErr w:type="spellStart"/>
      <w:r w:rsidRPr="008F5C47">
        <w:rPr>
          <w:rFonts w:ascii="Times New Roman" w:eastAsia="Times New Roman" w:hAnsi="Times New Roman" w:cs="Times New Roman"/>
          <w:sz w:val="24"/>
          <w:szCs w:val="24"/>
        </w:rPr>
        <w:t>Burgoine</w:t>
      </w:r>
      <w:proofErr w:type="spellEnd"/>
      <w:r w:rsidRPr="008F5C47">
        <w:rPr>
          <w:rFonts w:ascii="Times New Roman" w:eastAsia="Times New Roman" w:hAnsi="Times New Roman" w:cs="Times New Roman"/>
          <w:sz w:val="24"/>
          <w:szCs w:val="24"/>
        </w:rPr>
        <w:t xml:space="preserve">, T. (2025). Associations between racialized economic segregation and retail food environments in the United States: An observational, cross-sectional study. </w:t>
      </w:r>
      <w:r w:rsidRPr="008F5C47">
        <w:rPr>
          <w:rFonts w:ascii="Times New Roman" w:eastAsia="Times New Roman" w:hAnsi="Times New Roman" w:cs="Times New Roman"/>
          <w:i/>
          <w:iCs/>
          <w:sz w:val="24"/>
          <w:szCs w:val="24"/>
        </w:rPr>
        <w:t>Applied Geography</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184</w:t>
      </w:r>
      <w:r w:rsidRPr="008F5C47">
        <w:rPr>
          <w:rFonts w:ascii="Times New Roman" w:eastAsia="Times New Roman" w:hAnsi="Times New Roman" w:cs="Times New Roman"/>
          <w:sz w:val="24"/>
          <w:szCs w:val="24"/>
        </w:rPr>
        <w:t xml:space="preserve">, 103748. </w:t>
      </w:r>
      <w:hyperlink r:id="rId9" w:history="1">
        <w:r w:rsidRPr="008F5C47">
          <w:rPr>
            <w:rFonts w:ascii="Times New Roman" w:eastAsia="Times New Roman" w:hAnsi="Times New Roman" w:cs="Times New Roman"/>
            <w:color w:val="0000FF"/>
            <w:sz w:val="24"/>
            <w:szCs w:val="24"/>
            <w:u w:val="single"/>
          </w:rPr>
          <w:t>https://doi.org/10.1016/j.apgeog.2025.103748</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Kaur, R., </w:t>
      </w:r>
      <w:proofErr w:type="spellStart"/>
      <w:r w:rsidRPr="008F5C47">
        <w:rPr>
          <w:rFonts w:ascii="Times New Roman" w:eastAsia="Times New Roman" w:hAnsi="Times New Roman" w:cs="Times New Roman"/>
          <w:sz w:val="24"/>
          <w:szCs w:val="24"/>
        </w:rPr>
        <w:t>Janda-Thomte</w:t>
      </w:r>
      <w:proofErr w:type="spellEnd"/>
      <w:r w:rsidRPr="008F5C47">
        <w:rPr>
          <w:rFonts w:ascii="Times New Roman" w:eastAsia="Times New Roman" w:hAnsi="Times New Roman" w:cs="Times New Roman"/>
          <w:sz w:val="24"/>
          <w:szCs w:val="24"/>
        </w:rPr>
        <w:t xml:space="preserve">, K. M., Bode, B., </w:t>
      </w:r>
      <w:proofErr w:type="spellStart"/>
      <w:r w:rsidRPr="008F5C47">
        <w:rPr>
          <w:rFonts w:ascii="Times New Roman" w:eastAsia="Times New Roman" w:hAnsi="Times New Roman" w:cs="Times New Roman"/>
          <w:sz w:val="24"/>
          <w:szCs w:val="24"/>
        </w:rPr>
        <w:t>Dastgerdized</w:t>
      </w:r>
      <w:proofErr w:type="spellEnd"/>
      <w:r w:rsidRPr="008F5C47">
        <w:rPr>
          <w:rFonts w:ascii="Times New Roman" w:eastAsia="Times New Roman" w:hAnsi="Times New Roman" w:cs="Times New Roman"/>
          <w:sz w:val="24"/>
          <w:szCs w:val="24"/>
        </w:rPr>
        <w:t xml:space="preserve">, H., </w:t>
      </w:r>
      <w:proofErr w:type="spellStart"/>
      <w:r w:rsidRPr="008F5C47">
        <w:rPr>
          <w:rFonts w:ascii="Times New Roman" w:eastAsia="Times New Roman" w:hAnsi="Times New Roman" w:cs="Times New Roman"/>
          <w:sz w:val="24"/>
          <w:szCs w:val="24"/>
        </w:rPr>
        <w:t>Kaliszewski</w:t>
      </w:r>
      <w:proofErr w:type="spellEnd"/>
      <w:r w:rsidRPr="008F5C47">
        <w:rPr>
          <w:rFonts w:ascii="Times New Roman" w:eastAsia="Times New Roman" w:hAnsi="Times New Roman" w:cs="Times New Roman"/>
          <w:sz w:val="24"/>
          <w:szCs w:val="24"/>
        </w:rPr>
        <w:t xml:space="preserve">, C., Hudson, H., </w:t>
      </w:r>
      <w:proofErr w:type="spellStart"/>
      <w:r w:rsidRPr="008F5C47">
        <w:rPr>
          <w:rFonts w:ascii="Times New Roman" w:eastAsia="Times New Roman" w:hAnsi="Times New Roman" w:cs="Times New Roman"/>
          <w:sz w:val="24"/>
          <w:szCs w:val="24"/>
        </w:rPr>
        <w:t>Khare</w:t>
      </w:r>
      <w:proofErr w:type="spellEnd"/>
      <w:r w:rsidRPr="008F5C47">
        <w:rPr>
          <w:rFonts w:ascii="Times New Roman" w:eastAsia="Times New Roman" w:hAnsi="Times New Roman" w:cs="Times New Roman"/>
          <w:sz w:val="24"/>
          <w:szCs w:val="24"/>
        </w:rPr>
        <w:t xml:space="preserve">, M., &amp; Winkler, M. R. (2025). Community Engaged Research Strategies Used in Food Retail Interventions: A Scoping Review. </w:t>
      </w:r>
      <w:r w:rsidRPr="008F5C47">
        <w:rPr>
          <w:rFonts w:ascii="Times New Roman" w:eastAsia="Times New Roman" w:hAnsi="Times New Roman" w:cs="Times New Roman"/>
          <w:i/>
          <w:iCs/>
          <w:sz w:val="24"/>
          <w:szCs w:val="24"/>
        </w:rPr>
        <w:t>Journal of the Academy of Nutrition and Dietetics</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125</w:t>
      </w:r>
      <w:r w:rsidRPr="008F5C47">
        <w:rPr>
          <w:rFonts w:ascii="Times New Roman" w:eastAsia="Times New Roman" w:hAnsi="Times New Roman" w:cs="Times New Roman"/>
          <w:sz w:val="24"/>
          <w:szCs w:val="24"/>
        </w:rPr>
        <w:t xml:space="preserve">(9), 1346-1375.e3. </w:t>
      </w:r>
      <w:hyperlink r:id="rId10" w:history="1">
        <w:r w:rsidRPr="008F5C47">
          <w:rPr>
            <w:rFonts w:ascii="Times New Roman" w:eastAsia="Times New Roman" w:hAnsi="Times New Roman" w:cs="Times New Roman"/>
            <w:color w:val="0000FF"/>
            <w:sz w:val="24"/>
            <w:szCs w:val="24"/>
            <w:u w:val="single"/>
          </w:rPr>
          <w:t>https://doi.org/10.1016/j.jand.2025.04.002</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proofErr w:type="spellStart"/>
      <w:r w:rsidRPr="008F5C47">
        <w:rPr>
          <w:rFonts w:ascii="Times New Roman" w:eastAsia="Times New Roman" w:hAnsi="Times New Roman" w:cs="Times New Roman"/>
          <w:sz w:val="24"/>
          <w:szCs w:val="24"/>
        </w:rPr>
        <w:t>Obinna</w:t>
      </w:r>
      <w:proofErr w:type="spellEnd"/>
      <w:r w:rsidRPr="008F5C47">
        <w:rPr>
          <w:rFonts w:ascii="Times New Roman" w:eastAsia="Times New Roman" w:hAnsi="Times New Roman" w:cs="Times New Roman"/>
          <w:sz w:val="24"/>
          <w:szCs w:val="24"/>
        </w:rPr>
        <w:t xml:space="preserve">, D. N. (2021). Confronting Disparities: Race, Ethnicity, and Immigrant Status as Intersectional Determinants in the COVID-19 Era. </w:t>
      </w:r>
      <w:r w:rsidRPr="008F5C47">
        <w:rPr>
          <w:rFonts w:ascii="Times New Roman" w:eastAsia="Times New Roman" w:hAnsi="Times New Roman" w:cs="Times New Roman"/>
          <w:i/>
          <w:iCs/>
          <w:sz w:val="24"/>
          <w:szCs w:val="24"/>
        </w:rPr>
        <w:t>Health Education &amp; Behavior</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48</w:t>
      </w:r>
      <w:r w:rsidRPr="008F5C47">
        <w:rPr>
          <w:rFonts w:ascii="Times New Roman" w:eastAsia="Times New Roman" w:hAnsi="Times New Roman" w:cs="Times New Roman"/>
          <w:sz w:val="24"/>
          <w:szCs w:val="24"/>
        </w:rPr>
        <w:t xml:space="preserve">(4), 397–403. </w:t>
      </w:r>
      <w:hyperlink r:id="rId11" w:history="1">
        <w:r w:rsidRPr="008F5C47">
          <w:rPr>
            <w:rFonts w:ascii="Times New Roman" w:eastAsia="Times New Roman" w:hAnsi="Times New Roman" w:cs="Times New Roman"/>
            <w:color w:val="0000FF"/>
            <w:sz w:val="24"/>
            <w:szCs w:val="24"/>
            <w:u w:val="single"/>
          </w:rPr>
          <w:t>https://doi.org/10.1177/10901981211011581</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proofErr w:type="spellStart"/>
      <w:r w:rsidRPr="008F5C47">
        <w:rPr>
          <w:rFonts w:ascii="Times New Roman" w:eastAsia="Times New Roman" w:hAnsi="Times New Roman" w:cs="Times New Roman"/>
          <w:sz w:val="24"/>
          <w:szCs w:val="24"/>
        </w:rPr>
        <w:t>Onufrak</w:t>
      </w:r>
      <w:proofErr w:type="spellEnd"/>
      <w:r w:rsidRPr="008F5C47">
        <w:rPr>
          <w:rFonts w:ascii="Times New Roman" w:eastAsia="Times New Roman" w:hAnsi="Times New Roman" w:cs="Times New Roman"/>
          <w:sz w:val="24"/>
          <w:szCs w:val="24"/>
        </w:rPr>
        <w:t xml:space="preserve">, S. J. (2023). Changes in Policy Supports for Healthy Food Retailers, Farmers Markets, and Breastfeeding </w:t>
      </w:r>
      <w:proofErr w:type="gramStart"/>
      <w:r w:rsidRPr="008F5C47">
        <w:rPr>
          <w:rFonts w:ascii="Times New Roman" w:eastAsia="Times New Roman" w:hAnsi="Times New Roman" w:cs="Times New Roman"/>
          <w:sz w:val="24"/>
          <w:szCs w:val="24"/>
        </w:rPr>
        <w:t>Among</w:t>
      </w:r>
      <w:proofErr w:type="gramEnd"/>
      <w:r w:rsidRPr="008F5C47">
        <w:rPr>
          <w:rFonts w:ascii="Times New Roman" w:eastAsia="Times New Roman" w:hAnsi="Times New Roman" w:cs="Times New Roman"/>
          <w:sz w:val="24"/>
          <w:szCs w:val="24"/>
        </w:rPr>
        <w:t xml:space="preserve"> US Municipalities, 2014–2021: National Survey of Community-Based Policy and Environmental Supports for Healthy Eating and Active </w:t>
      </w:r>
      <w:r w:rsidRPr="008F5C47">
        <w:rPr>
          <w:rFonts w:ascii="Times New Roman" w:eastAsia="Times New Roman" w:hAnsi="Times New Roman" w:cs="Times New Roman"/>
          <w:sz w:val="24"/>
          <w:szCs w:val="24"/>
        </w:rPr>
        <w:lastRenderedPageBreak/>
        <w:t xml:space="preserve">Living (CBS-HEAL). </w:t>
      </w:r>
      <w:r w:rsidRPr="008F5C47">
        <w:rPr>
          <w:rFonts w:ascii="Times New Roman" w:eastAsia="Times New Roman" w:hAnsi="Times New Roman" w:cs="Times New Roman"/>
          <w:i/>
          <w:iCs/>
          <w:sz w:val="24"/>
          <w:szCs w:val="24"/>
        </w:rPr>
        <w:t>Preventing Chronic Disease</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20</w:t>
      </w:r>
      <w:r w:rsidRPr="008F5C47">
        <w:rPr>
          <w:rFonts w:ascii="Times New Roman" w:eastAsia="Times New Roman" w:hAnsi="Times New Roman" w:cs="Times New Roman"/>
          <w:sz w:val="24"/>
          <w:szCs w:val="24"/>
        </w:rPr>
        <w:t xml:space="preserve">. </w:t>
      </w:r>
      <w:hyperlink r:id="rId12" w:history="1">
        <w:r w:rsidRPr="008F5C47">
          <w:rPr>
            <w:rFonts w:ascii="Times New Roman" w:eastAsia="Times New Roman" w:hAnsi="Times New Roman" w:cs="Times New Roman"/>
            <w:color w:val="0000FF"/>
            <w:sz w:val="24"/>
            <w:szCs w:val="24"/>
            <w:u w:val="single"/>
          </w:rPr>
          <w:t>https://doi.org/10.5888/pcd20.230018</w:t>
        </w:r>
      </w:hyperlink>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Samuel, L. J., Crews, D. C., </w:t>
      </w:r>
      <w:proofErr w:type="spellStart"/>
      <w:r w:rsidRPr="008F5C47">
        <w:rPr>
          <w:rFonts w:ascii="Times New Roman" w:eastAsia="Times New Roman" w:hAnsi="Times New Roman" w:cs="Times New Roman"/>
          <w:sz w:val="24"/>
          <w:szCs w:val="24"/>
        </w:rPr>
        <w:t>Swenor</w:t>
      </w:r>
      <w:proofErr w:type="spellEnd"/>
      <w:r w:rsidRPr="008F5C47">
        <w:rPr>
          <w:rFonts w:ascii="Times New Roman" w:eastAsia="Times New Roman" w:hAnsi="Times New Roman" w:cs="Times New Roman"/>
          <w:sz w:val="24"/>
          <w:szCs w:val="24"/>
        </w:rPr>
        <w:t xml:space="preserve">, B. K., Zhu, J., Stuart, E. A., </w:t>
      </w:r>
      <w:proofErr w:type="spellStart"/>
      <w:r w:rsidRPr="008F5C47">
        <w:rPr>
          <w:rFonts w:ascii="Times New Roman" w:eastAsia="Times New Roman" w:hAnsi="Times New Roman" w:cs="Times New Roman"/>
          <w:sz w:val="24"/>
          <w:szCs w:val="24"/>
        </w:rPr>
        <w:t>Szanton</w:t>
      </w:r>
      <w:proofErr w:type="spellEnd"/>
      <w:r w:rsidRPr="008F5C47">
        <w:rPr>
          <w:rFonts w:ascii="Times New Roman" w:eastAsia="Times New Roman" w:hAnsi="Times New Roman" w:cs="Times New Roman"/>
          <w:sz w:val="24"/>
          <w:szCs w:val="24"/>
        </w:rPr>
        <w:t xml:space="preserve">, S. L., Kim, B., </w:t>
      </w:r>
      <w:proofErr w:type="spellStart"/>
      <w:r w:rsidRPr="008F5C47">
        <w:rPr>
          <w:rFonts w:ascii="Times New Roman" w:eastAsia="Times New Roman" w:hAnsi="Times New Roman" w:cs="Times New Roman"/>
          <w:sz w:val="24"/>
          <w:szCs w:val="24"/>
        </w:rPr>
        <w:t>Dwivedi</w:t>
      </w:r>
      <w:proofErr w:type="spellEnd"/>
      <w:r w:rsidRPr="008F5C47">
        <w:rPr>
          <w:rFonts w:ascii="Times New Roman" w:eastAsia="Times New Roman" w:hAnsi="Times New Roman" w:cs="Times New Roman"/>
          <w:sz w:val="24"/>
          <w:szCs w:val="24"/>
        </w:rPr>
        <w:t xml:space="preserve">, P., Li, Q., Reed, N. S., &amp; Thorpe, R. J., Jr. (2023). Supplemental Nutrition Assistance Program Access and Racial Disparities in Food Insecurity. </w:t>
      </w:r>
      <w:r w:rsidRPr="008F5C47">
        <w:rPr>
          <w:rFonts w:ascii="Times New Roman" w:eastAsia="Times New Roman" w:hAnsi="Times New Roman" w:cs="Times New Roman"/>
          <w:i/>
          <w:iCs/>
          <w:sz w:val="24"/>
          <w:szCs w:val="24"/>
        </w:rPr>
        <w:t>JAMA Network Open</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6</w:t>
      </w:r>
      <w:r w:rsidRPr="008F5C47">
        <w:rPr>
          <w:rFonts w:ascii="Times New Roman" w:eastAsia="Times New Roman" w:hAnsi="Times New Roman" w:cs="Times New Roman"/>
          <w:sz w:val="24"/>
          <w:szCs w:val="24"/>
        </w:rPr>
        <w:t xml:space="preserve">(6), e2320196. </w:t>
      </w:r>
      <w:hyperlink r:id="rId13" w:history="1">
        <w:r w:rsidRPr="008F5C47">
          <w:rPr>
            <w:rFonts w:ascii="Times New Roman" w:eastAsia="Times New Roman" w:hAnsi="Times New Roman" w:cs="Times New Roman"/>
            <w:color w:val="0000FF"/>
            <w:sz w:val="24"/>
            <w:szCs w:val="24"/>
            <w:u w:val="single"/>
          </w:rPr>
          <w:t>https://doi.org/10.1001/jamanetworkopen.2023.20196</w:t>
        </w:r>
      </w:hyperlink>
    </w:p>
    <w:p w:rsidR="008F5C47" w:rsidRPr="008F5C47" w:rsidRDefault="008F5C47" w:rsidP="00733DA8">
      <w:pPr>
        <w:spacing w:after="0" w:line="480" w:lineRule="auto"/>
        <w:ind w:left="720" w:hanging="720"/>
        <w:rPr>
          <w:rFonts w:ascii="Times New Roman" w:eastAsia="Times New Roman" w:hAnsi="Times New Roman" w:cs="Times New Roman"/>
          <w:sz w:val="24"/>
          <w:szCs w:val="24"/>
        </w:rPr>
      </w:pPr>
      <w:bookmarkStart w:id="0" w:name="_GoBack"/>
      <w:bookmarkEnd w:id="0"/>
      <w:r w:rsidRPr="008F5C47">
        <w:rPr>
          <w:rFonts w:ascii="Times New Roman" w:eastAsia="Times New Roman" w:hAnsi="Times New Roman" w:cs="Times New Roman"/>
          <w:sz w:val="24"/>
          <w:szCs w:val="24"/>
        </w:rPr>
        <w:t xml:space="preserve">Shelby County Health Department. (n.d.). </w:t>
      </w:r>
      <w:r w:rsidRPr="008F5C47">
        <w:rPr>
          <w:rFonts w:ascii="Times New Roman" w:eastAsia="Times New Roman" w:hAnsi="Times New Roman" w:cs="Times New Roman"/>
          <w:i/>
          <w:iCs/>
          <w:sz w:val="24"/>
          <w:szCs w:val="24"/>
        </w:rPr>
        <w:t>Farmers market guidelines and sampling guidelines</w:t>
      </w:r>
      <w:r w:rsidRPr="008F5C47">
        <w:rPr>
          <w:rFonts w:ascii="Times New Roman" w:eastAsia="Times New Roman" w:hAnsi="Times New Roman" w:cs="Times New Roman"/>
          <w:sz w:val="24"/>
          <w:szCs w:val="24"/>
        </w:rPr>
        <w:t xml:space="preserve">. </w:t>
      </w:r>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Singleton, C. R., Wright, L. A., McDonald, M., Archer, I. G., Bell, C. N., </w:t>
      </w:r>
      <w:proofErr w:type="spellStart"/>
      <w:r w:rsidRPr="008F5C47">
        <w:rPr>
          <w:rFonts w:ascii="Times New Roman" w:eastAsia="Times New Roman" w:hAnsi="Times New Roman" w:cs="Times New Roman"/>
          <w:sz w:val="24"/>
          <w:szCs w:val="24"/>
        </w:rPr>
        <w:t>McLoughlin</w:t>
      </w:r>
      <w:proofErr w:type="spellEnd"/>
      <w:r w:rsidRPr="008F5C47">
        <w:rPr>
          <w:rFonts w:ascii="Times New Roman" w:eastAsia="Times New Roman" w:hAnsi="Times New Roman" w:cs="Times New Roman"/>
          <w:sz w:val="24"/>
          <w:szCs w:val="24"/>
        </w:rPr>
        <w:t xml:space="preserve">, G. M., </w:t>
      </w:r>
      <w:proofErr w:type="spellStart"/>
      <w:r w:rsidRPr="008F5C47">
        <w:rPr>
          <w:rFonts w:ascii="Times New Roman" w:eastAsia="Times New Roman" w:hAnsi="Times New Roman" w:cs="Times New Roman"/>
          <w:sz w:val="24"/>
          <w:szCs w:val="24"/>
        </w:rPr>
        <w:t>Houghtaling</w:t>
      </w:r>
      <w:proofErr w:type="spellEnd"/>
      <w:r w:rsidRPr="008F5C47">
        <w:rPr>
          <w:rFonts w:ascii="Times New Roman" w:eastAsia="Times New Roman" w:hAnsi="Times New Roman" w:cs="Times New Roman"/>
          <w:sz w:val="24"/>
          <w:szCs w:val="24"/>
        </w:rPr>
        <w:t xml:space="preserve">, B., Cooksey </w:t>
      </w:r>
      <w:proofErr w:type="spellStart"/>
      <w:r w:rsidRPr="008F5C47">
        <w:rPr>
          <w:rFonts w:ascii="Times New Roman" w:eastAsia="Times New Roman" w:hAnsi="Times New Roman" w:cs="Times New Roman"/>
          <w:sz w:val="24"/>
          <w:szCs w:val="24"/>
        </w:rPr>
        <w:t>Stowers</w:t>
      </w:r>
      <w:proofErr w:type="spellEnd"/>
      <w:r w:rsidRPr="008F5C47">
        <w:rPr>
          <w:rFonts w:ascii="Times New Roman" w:eastAsia="Times New Roman" w:hAnsi="Times New Roman" w:cs="Times New Roman"/>
          <w:sz w:val="24"/>
          <w:szCs w:val="24"/>
        </w:rPr>
        <w:t xml:space="preserve">, K., &amp; Anderson </w:t>
      </w:r>
      <w:proofErr w:type="spellStart"/>
      <w:r w:rsidRPr="008F5C47">
        <w:rPr>
          <w:rFonts w:ascii="Times New Roman" w:eastAsia="Times New Roman" w:hAnsi="Times New Roman" w:cs="Times New Roman"/>
          <w:sz w:val="24"/>
          <w:szCs w:val="24"/>
        </w:rPr>
        <w:t>Steeves</w:t>
      </w:r>
      <w:proofErr w:type="spellEnd"/>
      <w:r w:rsidRPr="008F5C47">
        <w:rPr>
          <w:rFonts w:ascii="Times New Roman" w:eastAsia="Times New Roman" w:hAnsi="Times New Roman" w:cs="Times New Roman"/>
          <w:sz w:val="24"/>
          <w:szCs w:val="24"/>
        </w:rPr>
        <w:t xml:space="preserve">, E. (2023). Structural racism and geographic access to food retailers in the United States: A scoping review. </w:t>
      </w:r>
      <w:r w:rsidRPr="008F5C47">
        <w:rPr>
          <w:rFonts w:ascii="Times New Roman" w:eastAsia="Times New Roman" w:hAnsi="Times New Roman" w:cs="Times New Roman"/>
          <w:i/>
          <w:iCs/>
          <w:sz w:val="24"/>
          <w:szCs w:val="24"/>
        </w:rPr>
        <w:t>Health &amp; Place</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83</w:t>
      </w:r>
      <w:r w:rsidRPr="008F5C47">
        <w:rPr>
          <w:rFonts w:ascii="Times New Roman" w:eastAsia="Times New Roman" w:hAnsi="Times New Roman" w:cs="Times New Roman"/>
          <w:sz w:val="24"/>
          <w:szCs w:val="24"/>
        </w:rPr>
        <w:t xml:space="preserve">, 103089. </w:t>
      </w:r>
      <w:hyperlink r:id="rId14" w:history="1">
        <w:r w:rsidRPr="008F5C47">
          <w:rPr>
            <w:rFonts w:ascii="Times New Roman" w:eastAsia="Times New Roman" w:hAnsi="Times New Roman" w:cs="Times New Roman"/>
            <w:color w:val="0000FF"/>
            <w:sz w:val="24"/>
            <w:szCs w:val="24"/>
            <w:u w:val="single"/>
          </w:rPr>
          <w:t>https://doi.org/10.1016/j.healthplace.2023.103089</w:t>
        </w:r>
      </w:hyperlink>
    </w:p>
    <w:p w:rsidR="008F5C47" w:rsidRDefault="008F5C47" w:rsidP="008F5C47">
      <w:pPr>
        <w:spacing w:after="0" w:line="480" w:lineRule="auto"/>
        <w:ind w:left="720" w:hanging="720"/>
        <w:rPr>
          <w:rFonts w:ascii="Times New Roman" w:eastAsia="Times New Roman" w:hAnsi="Times New Roman" w:cs="Times New Roman"/>
          <w:sz w:val="24"/>
          <w:szCs w:val="24"/>
        </w:rPr>
      </w:pPr>
      <w:proofErr w:type="spellStart"/>
      <w:r w:rsidRPr="008F5C47">
        <w:rPr>
          <w:rFonts w:ascii="Times New Roman" w:eastAsia="Times New Roman" w:hAnsi="Times New Roman" w:cs="Times New Roman"/>
          <w:sz w:val="24"/>
          <w:szCs w:val="24"/>
        </w:rPr>
        <w:t>Sundermeir</w:t>
      </w:r>
      <w:proofErr w:type="spellEnd"/>
      <w:r w:rsidRPr="008F5C47">
        <w:rPr>
          <w:rFonts w:ascii="Times New Roman" w:eastAsia="Times New Roman" w:hAnsi="Times New Roman" w:cs="Times New Roman"/>
          <w:sz w:val="24"/>
          <w:szCs w:val="24"/>
        </w:rPr>
        <w:t>, S. M., Santos, S. R., Lewis, E. C., John, S., Gardner, K., Friedman, E., Poirier, L., Hua, S., Peoples-Brown, S., Benjamin-</w:t>
      </w:r>
      <w:proofErr w:type="spellStart"/>
      <w:r w:rsidRPr="008F5C47">
        <w:rPr>
          <w:rFonts w:ascii="Times New Roman" w:eastAsia="Times New Roman" w:hAnsi="Times New Roman" w:cs="Times New Roman"/>
          <w:sz w:val="24"/>
          <w:szCs w:val="24"/>
        </w:rPr>
        <w:t>Neelon</w:t>
      </w:r>
      <w:proofErr w:type="spellEnd"/>
      <w:r w:rsidRPr="008F5C47">
        <w:rPr>
          <w:rFonts w:ascii="Times New Roman" w:eastAsia="Times New Roman" w:hAnsi="Times New Roman" w:cs="Times New Roman"/>
          <w:sz w:val="24"/>
          <w:szCs w:val="24"/>
        </w:rPr>
        <w:t xml:space="preserve">, S. E., &amp; </w:t>
      </w:r>
      <w:proofErr w:type="spellStart"/>
      <w:r w:rsidRPr="008F5C47">
        <w:rPr>
          <w:rFonts w:ascii="Times New Roman" w:eastAsia="Times New Roman" w:hAnsi="Times New Roman" w:cs="Times New Roman"/>
          <w:sz w:val="24"/>
          <w:szCs w:val="24"/>
        </w:rPr>
        <w:t>Gittelsohn</w:t>
      </w:r>
      <w:proofErr w:type="spellEnd"/>
      <w:r w:rsidRPr="008F5C47">
        <w:rPr>
          <w:rFonts w:ascii="Times New Roman" w:eastAsia="Times New Roman" w:hAnsi="Times New Roman" w:cs="Times New Roman"/>
          <w:sz w:val="24"/>
          <w:szCs w:val="24"/>
        </w:rPr>
        <w:t xml:space="preserve">, J. (2024). Dollar store policy opportunities in Baltimore City: Community member and policy maker perspectives. </w:t>
      </w:r>
      <w:r w:rsidRPr="008F5C47">
        <w:rPr>
          <w:rFonts w:ascii="Times New Roman" w:eastAsia="Times New Roman" w:hAnsi="Times New Roman" w:cs="Times New Roman"/>
          <w:i/>
          <w:iCs/>
          <w:sz w:val="24"/>
          <w:szCs w:val="24"/>
        </w:rPr>
        <w:t>Frontiers in Nutrition</w:t>
      </w:r>
      <w:r w:rsidRPr="008F5C47">
        <w:rPr>
          <w:rFonts w:ascii="Times New Roman" w:eastAsia="Times New Roman" w:hAnsi="Times New Roman" w:cs="Times New Roman"/>
          <w:sz w:val="24"/>
          <w:szCs w:val="24"/>
        </w:rPr>
        <w:t xml:space="preserve">, </w:t>
      </w:r>
      <w:r w:rsidRPr="008F5C47">
        <w:rPr>
          <w:rFonts w:ascii="Times New Roman" w:eastAsia="Times New Roman" w:hAnsi="Times New Roman" w:cs="Times New Roman"/>
          <w:i/>
          <w:iCs/>
          <w:sz w:val="24"/>
          <w:szCs w:val="24"/>
        </w:rPr>
        <w:t>11</w:t>
      </w:r>
      <w:r w:rsidRPr="008F5C47">
        <w:rPr>
          <w:rFonts w:ascii="Times New Roman" w:eastAsia="Times New Roman" w:hAnsi="Times New Roman" w:cs="Times New Roman"/>
          <w:sz w:val="24"/>
          <w:szCs w:val="24"/>
        </w:rPr>
        <w:t xml:space="preserve">. </w:t>
      </w:r>
      <w:hyperlink r:id="rId15" w:history="1">
        <w:r w:rsidRPr="008F5C47">
          <w:rPr>
            <w:rFonts w:ascii="Times New Roman" w:eastAsia="Times New Roman" w:hAnsi="Times New Roman" w:cs="Times New Roman"/>
            <w:color w:val="0000FF"/>
            <w:sz w:val="24"/>
            <w:szCs w:val="24"/>
            <w:u w:val="single"/>
          </w:rPr>
          <w:t>https://doi.org/10.3389/fnut.2024.1399402</w:t>
        </w:r>
      </w:hyperlink>
    </w:p>
    <w:p w:rsidR="008F5C47" w:rsidRDefault="008F5C47" w:rsidP="008F5C47">
      <w:pPr>
        <w:spacing w:after="0" w:line="480" w:lineRule="auto"/>
        <w:ind w:left="720" w:hanging="720"/>
        <w:rPr>
          <w:rFonts w:ascii="Times New Roman" w:eastAsia="Times New Roman" w:hAnsi="Times New Roman" w:cs="Times New Roman"/>
          <w:sz w:val="24"/>
          <w:szCs w:val="24"/>
        </w:rPr>
      </w:pPr>
      <w:r w:rsidRPr="008F5C47">
        <w:rPr>
          <w:rFonts w:ascii="Times New Roman" w:eastAsia="Times New Roman" w:hAnsi="Times New Roman" w:cs="Times New Roman"/>
          <w:sz w:val="24"/>
          <w:szCs w:val="24"/>
        </w:rPr>
        <w:t xml:space="preserve">Tennessee General Assembly. (2023). </w:t>
      </w:r>
      <w:r w:rsidRPr="008F5C47">
        <w:rPr>
          <w:rFonts w:ascii="Times New Roman" w:eastAsia="Times New Roman" w:hAnsi="Times New Roman" w:cs="Times New Roman"/>
          <w:i/>
          <w:iCs/>
          <w:sz w:val="24"/>
          <w:szCs w:val="24"/>
        </w:rPr>
        <w:t>House Bill 1077 / Senate Bill 1049: An act to amend Tennessee Code Annotated, Title 4; Title 43; Title 53; Title 67 and Title 68, relative to food that is available for consumption at farmers markets</w:t>
      </w:r>
      <w:r w:rsidRPr="008F5C47">
        <w:rPr>
          <w:rFonts w:ascii="Times New Roman" w:eastAsia="Times New Roman" w:hAnsi="Times New Roman" w:cs="Times New Roman"/>
          <w:sz w:val="24"/>
          <w:szCs w:val="24"/>
        </w:rPr>
        <w:t xml:space="preserve">. </w:t>
      </w:r>
    </w:p>
    <w:p w:rsidR="008F5C47" w:rsidRPr="008F5C47" w:rsidRDefault="008F5C47" w:rsidP="008F5C47">
      <w:pPr>
        <w:spacing w:after="0" w:line="480" w:lineRule="auto"/>
        <w:ind w:left="720" w:hanging="720"/>
        <w:rPr>
          <w:rFonts w:ascii="Times New Roman" w:eastAsia="Times New Roman" w:hAnsi="Times New Roman" w:cs="Times New Roman"/>
          <w:sz w:val="24"/>
          <w:szCs w:val="24"/>
        </w:rPr>
      </w:pPr>
    </w:p>
    <w:p w:rsidR="008F5C47" w:rsidRPr="008F5C47" w:rsidRDefault="008F5C47" w:rsidP="008F5C47">
      <w:pPr>
        <w:spacing w:after="0" w:line="480" w:lineRule="auto"/>
        <w:rPr>
          <w:b/>
        </w:rPr>
      </w:pPr>
    </w:p>
    <w:sectPr w:rsidR="008F5C47" w:rsidRPr="008F5C4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5B" w:rsidRDefault="0020685B" w:rsidP="008F5C47">
      <w:pPr>
        <w:spacing w:after="0" w:line="240" w:lineRule="auto"/>
      </w:pPr>
      <w:r>
        <w:separator/>
      </w:r>
    </w:p>
  </w:endnote>
  <w:endnote w:type="continuationSeparator" w:id="0">
    <w:p w:rsidR="0020685B" w:rsidRDefault="0020685B" w:rsidP="008F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ist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5B" w:rsidRDefault="0020685B" w:rsidP="008F5C47">
      <w:pPr>
        <w:spacing w:after="0" w:line="240" w:lineRule="auto"/>
      </w:pPr>
      <w:r>
        <w:separator/>
      </w:r>
    </w:p>
  </w:footnote>
  <w:footnote w:type="continuationSeparator" w:id="0">
    <w:p w:rsidR="0020685B" w:rsidRDefault="0020685B" w:rsidP="008F5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38059"/>
      <w:docPartObj>
        <w:docPartGallery w:val="Page Numbers (Top of Page)"/>
        <w:docPartUnique/>
      </w:docPartObj>
    </w:sdtPr>
    <w:sdtEndPr>
      <w:rPr>
        <w:rFonts w:ascii="Times New Roman" w:hAnsi="Times New Roman" w:cs="Times New Roman"/>
        <w:noProof/>
        <w:sz w:val="24"/>
      </w:rPr>
    </w:sdtEndPr>
    <w:sdtContent>
      <w:p w:rsidR="008F5C47" w:rsidRPr="008F5C47" w:rsidRDefault="008F5C47">
        <w:pPr>
          <w:pStyle w:val="Header"/>
          <w:jc w:val="right"/>
          <w:rPr>
            <w:rFonts w:ascii="Times New Roman" w:hAnsi="Times New Roman" w:cs="Times New Roman"/>
            <w:sz w:val="24"/>
          </w:rPr>
        </w:pPr>
        <w:r w:rsidRPr="008F5C47">
          <w:rPr>
            <w:rFonts w:ascii="Times New Roman" w:hAnsi="Times New Roman" w:cs="Times New Roman"/>
            <w:sz w:val="24"/>
          </w:rPr>
          <w:fldChar w:fldCharType="begin"/>
        </w:r>
        <w:r w:rsidRPr="008F5C47">
          <w:rPr>
            <w:rFonts w:ascii="Times New Roman" w:hAnsi="Times New Roman" w:cs="Times New Roman"/>
            <w:sz w:val="24"/>
          </w:rPr>
          <w:instrText xml:space="preserve"> PAGE   \* MERGEFORMAT </w:instrText>
        </w:r>
        <w:r w:rsidRPr="008F5C47">
          <w:rPr>
            <w:rFonts w:ascii="Times New Roman" w:hAnsi="Times New Roman" w:cs="Times New Roman"/>
            <w:sz w:val="24"/>
          </w:rPr>
          <w:fldChar w:fldCharType="separate"/>
        </w:r>
        <w:r w:rsidR="00132BBC">
          <w:rPr>
            <w:rFonts w:ascii="Times New Roman" w:hAnsi="Times New Roman" w:cs="Times New Roman"/>
            <w:noProof/>
            <w:sz w:val="24"/>
          </w:rPr>
          <w:t>14</w:t>
        </w:r>
        <w:r w:rsidRPr="008F5C47">
          <w:rPr>
            <w:rFonts w:ascii="Times New Roman" w:hAnsi="Times New Roman" w:cs="Times New Roman"/>
            <w:noProof/>
            <w:sz w:val="24"/>
          </w:rPr>
          <w:fldChar w:fldCharType="end"/>
        </w:r>
      </w:p>
    </w:sdtContent>
  </w:sdt>
  <w:p w:rsidR="008F5C47" w:rsidRDefault="008F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22AF2"/>
    <w:multiLevelType w:val="multilevel"/>
    <w:tmpl w:val="8EE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451FC"/>
    <w:multiLevelType w:val="multilevel"/>
    <w:tmpl w:val="E66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A7"/>
    <w:rsid w:val="00132BBC"/>
    <w:rsid w:val="001971C3"/>
    <w:rsid w:val="00204FB3"/>
    <w:rsid w:val="0020685B"/>
    <w:rsid w:val="00240D01"/>
    <w:rsid w:val="004879C9"/>
    <w:rsid w:val="00733DA8"/>
    <w:rsid w:val="00865136"/>
    <w:rsid w:val="008F5C47"/>
    <w:rsid w:val="00936D3B"/>
    <w:rsid w:val="00965B26"/>
    <w:rsid w:val="00A753A7"/>
    <w:rsid w:val="00B30CA7"/>
    <w:rsid w:val="00D71121"/>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E9E58-9872-472D-80CC-BFD7E96B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53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53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3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53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53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5C47"/>
    <w:pPr>
      <w:ind w:left="720"/>
      <w:contextualSpacing/>
    </w:pPr>
  </w:style>
  <w:style w:type="paragraph" w:styleId="Header">
    <w:name w:val="header"/>
    <w:basedOn w:val="Normal"/>
    <w:link w:val="HeaderChar"/>
    <w:uiPriority w:val="99"/>
    <w:unhideWhenUsed/>
    <w:rsid w:val="008F5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47"/>
  </w:style>
  <w:style w:type="paragraph" w:styleId="Footer">
    <w:name w:val="footer"/>
    <w:basedOn w:val="Normal"/>
    <w:link w:val="FooterChar"/>
    <w:uiPriority w:val="99"/>
    <w:unhideWhenUsed/>
    <w:rsid w:val="008F5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47"/>
  </w:style>
  <w:style w:type="character" w:styleId="Hyperlink">
    <w:name w:val="Hyperlink"/>
    <w:basedOn w:val="DefaultParagraphFont"/>
    <w:uiPriority w:val="99"/>
    <w:semiHidden/>
    <w:unhideWhenUsed/>
    <w:rsid w:val="008F5C47"/>
    <w:rPr>
      <w:color w:val="0000FF"/>
      <w:u w:val="single"/>
    </w:rPr>
  </w:style>
  <w:style w:type="character" w:customStyle="1" w:styleId="cursor-pointer">
    <w:name w:val="cursor-pointer"/>
    <w:basedOn w:val="DefaultParagraphFont"/>
    <w:rsid w:val="008F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4526">
      <w:bodyDiv w:val="1"/>
      <w:marLeft w:val="0"/>
      <w:marRight w:val="0"/>
      <w:marTop w:val="0"/>
      <w:marBottom w:val="0"/>
      <w:divBdr>
        <w:top w:val="none" w:sz="0" w:space="0" w:color="auto"/>
        <w:left w:val="none" w:sz="0" w:space="0" w:color="auto"/>
        <w:bottom w:val="none" w:sz="0" w:space="0" w:color="auto"/>
        <w:right w:val="none" w:sz="0" w:space="0" w:color="auto"/>
      </w:divBdr>
    </w:div>
    <w:div w:id="864320007">
      <w:bodyDiv w:val="1"/>
      <w:marLeft w:val="0"/>
      <w:marRight w:val="0"/>
      <w:marTop w:val="0"/>
      <w:marBottom w:val="0"/>
      <w:divBdr>
        <w:top w:val="none" w:sz="0" w:space="0" w:color="auto"/>
        <w:left w:val="none" w:sz="0" w:space="0" w:color="auto"/>
        <w:bottom w:val="none" w:sz="0" w:space="0" w:color="auto"/>
        <w:right w:val="none" w:sz="0" w:space="0" w:color="auto"/>
      </w:divBdr>
    </w:div>
    <w:div w:id="1334602317">
      <w:bodyDiv w:val="1"/>
      <w:marLeft w:val="0"/>
      <w:marRight w:val="0"/>
      <w:marTop w:val="0"/>
      <w:marBottom w:val="0"/>
      <w:divBdr>
        <w:top w:val="none" w:sz="0" w:space="0" w:color="auto"/>
        <w:left w:val="none" w:sz="0" w:space="0" w:color="auto"/>
        <w:bottom w:val="none" w:sz="0" w:space="0" w:color="auto"/>
        <w:right w:val="none" w:sz="0" w:space="0" w:color="auto"/>
      </w:divBdr>
    </w:div>
    <w:div w:id="1502769176">
      <w:bodyDiv w:val="1"/>
      <w:marLeft w:val="0"/>
      <w:marRight w:val="0"/>
      <w:marTop w:val="0"/>
      <w:marBottom w:val="0"/>
      <w:divBdr>
        <w:top w:val="none" w:sz="0" w:space="0" w:color="auto"/>
        <w:left w:val="none" w:sz="0" w:space="0" w:color="auto"/>
        <w:bottom w:val="none" w:sz="0" w:space="0" w:color="auto"/>
        <w:right w:val="none" w:sz="0" w:space="0" w:color="auto"/>
      </w:divBdr>
      <w:divsChild>
        <w:div w:id="467625456">
          <w:marLeft w:val="480"/>
          <w:marRight w:val="0"/>
          <w:marTop w:val="0"/>
          <w:marBottom w:val="0"/>
          <w:divBdr>
            <w:top w:val="none" w:sz="0" w:space="0" w:color="auto"/>
            <w:left w:val="none" w:sz="0" w:space="0" w:color="auto"/>
            <w:bottom w:val="none" w:sz="0" w:space="0" w:color="auto"/>
            <w:right w:val="none" w:sz="0" w:space="0" w:color="auto"/>
          </w:divBdr>
          <w:divsChild>
            <w:div w:id="2097365159">
              <w:marLeft w:val="0"/>
              <w:marRight w:val="0"/>
              <w:marTop w:val="0"/>
              <w:marBottom w:val="0"/>
              <w:divBdr>
                <w:top w:val="none" w:sz="0" w:space="0" w:color="auto"/>
                <w:left w:val="none" w:sz="0" w:space="0" w:color="auto"/>
                <w:bottom w:val="none" w:sz="0" w:space="0" w:color="auto"/>
                <w:right w:val="none" w:sz="0" w:space="0" w:color="auto"/>
              </w:divBdr>
            </w:div>
            <w:div w:id="1371999527">
              <w:marLeft w:val="0"/>
              <w:marRight w:val="0"/>
              <w:marTop w:val="0"/>
              <w:marBottom w:val="0"/>
              <w:divBdr>
                <w:top w:val="none" w:sz="0" w:space="0" w:color="auto"/>
                <w:left w:val="none" w:sz="0" w:space="0" w:color="auto"/>
                <w:bottom w:val="none" w:sz="0" w:space="0" w:color="auto"/>
                <w:right w:val="none" w:sz="0" w:space="0" w:color="auto"/>
              </w:divBdr>
            </w:div>
            <w:div w:id="171575998">
              <w:marLeft w:val="0"/>
              <w:marRight w:val="0"/>
              <w:marTop w:val="0"/>
              <w:marBottom w:val="0"/>
              <w:divBdr>
                <w:top w:val="none" w:sz="0" w:space="0" w:color="auto"/>
                <w:left w:val="none" w:sz="0" w:space="0" w:color="auto"/>
                <w:bottom w:val="none" w:sz="0" w:space="0" w:color="auto"/>
                <w:right w:val="none" w:sz="0" w:space="0" w:color="auto"/>
              </w:divBdr>
            </w:div>
            <w:div w:id="705376153">
              <w:marLeft w:val="0"/>
              <w:marRight w:val="0"/>
              <w:marTop w:val="0"/>
              <w:marBottom w:val="0"/>
              <w:divBdr>
                <w:top w:val="none" w:sz="0" w:space="0" w:color="auto"/>
                <w:left w:val="none" w:sz="0" w:space="0" w:color="auto"/>
                <w:bottom w:val="none" w:sz="0" w:space="0" w:color="auto"/>
                <w:right w:val="none" w:sz="0" w:space="0" w:color="auto"/>
              </w:divBdr>
            </w:div>
            <w:div w:id="575626606">
              <w:marLeft w:val="0"/>
              <w:marRight w:val="0"/>
              <w:marTop w:val="0"/>
              <w:marBottom w:val="0"/>
              <w:divBdr>
                <w:top w:val="none" w:sz="0" w:space="0" w:color="auto"/>
                <w:left w:val="none" w:sz="0" w:space="0" w:color="auto"/>
                <w:bottom w:val="none" w:sz="0" w:space="0" w:color="auto"/>
                <w:right w:val="none" w:sz="0" w:space="0" w:color="auto"/>
              </w:divBdr>
            </w:div>
            <w:div w:id="1830512615">
              <w:marLeft w:val="0"/>
              <w:marRight w:val="0"/>
              <w:marTop w:val="0"/>
              <w:marBottom w:val="0"/>
              <w:divBdr>
                <w:top w:val="none" w:sz="0" w:space="0" w:color="auto"/>
                <w:left w:val="none" w:sz="0" w:space="0" w:color="auto"/>
                <w:bottom w:val="none" w:sz="0" w:space="0" w:color="auto"/>
                <w:right w:val="none" w:sz="0" w:space="0" w:color="auto"/>
              </w:divBdr>
            </w:div>
            <w:div w:id="780414843">
              <w:marLeft w:val="0"/>
              <w:marRight w:val="0"/>
              <w:marTop w:val="0"/>
              <w:marBottom w:val="0"/>
              <w:divBdr>
                <w:top w:val="none" w:sz="0" w:space="0" w:color="auto"/>
                <w:left w:val="none" w:sz="0" w:space="0" w:color="auto"/>
                <w:bottom w:val="none" w:sz="0" w:space="0" w:color="auto"/>
                <w:right w:val="none" w:sz="0" w:space="0" w:color="auto"/>
              </w:divBdr>
            </w:div>
            <w:div w:id="426924283">
              <w:marLeft w:val="0"/>
              <w:marRight w:val="0"/>
              <w:marTop w:val="0"/>
              <w:marBottom w:val="0"/>
              <w:divBdr>
                <w:top w:val="none" w:sz="0" w:space="0" w:color="auto"/>
                <w:left w:val="none" w:sz="0" w:space="0" w:color="auto"/>
                <w:bottom w:val="none" w:sz="0" w:space="0" w:color="auto"/>
                <w:right w:val="none" w:sz="0" w:space="0" w:color="auto"/>
              </w:divBdr>
            </w:div>
            <w:div w:id="984818766">
              <w:marLeft w:val="0"/>
              <w:marRight w:val="0"/>
              <w:marTop w:val="0"/>
              <w:marBottom w:val="0"/>
              <w:divBdr>
                <w:top w:val="none" w:sz="0" w:space="0" w:color="auto"/>
                <w:left w:val="none" w:sz="0" w:space="0" w:color="auto"/>
                <w:bottom w:val="none" w:sz="0" w:space="0" w:color="auto"/>
                <w:right w:val="none" w:sz="0" w:space="0" w:color="auto"/>
              </w:divBdr>
            </w:div>
            <w:div w:id="1627005745">
              <w:marLeft w:val="0"/>
              <w:marRight w:val="0"/>
              <w:marTop w:val="0"/>
              <w:marBottom w:val="0"/>
              <w:divBdr>
                <w:top w:val="none" w:sz="0" w:space="0" w:color="auto"/>
                <w:left w:val="none" w:sz="0" w:space="0" w:color="auto"/>
                <w:bottom w:val="none" w:sz="0" w:space="0" w:color="auto"/>
                <w:right w:val="none" w:sz="0" w:space="0" w:color="auto"/>
              </w:divBdr>
            </w:div>
            <w:div w:id="485753819">
              <w:marLeft w:val="0"/>
              <w:marRight w:val="0"/>
              <w:marTop w:val="0"/>
              <w:marBottom w:val="0"/>
              <w:divBdr>
                <w:top w:val="none" w:sz="0" w:space="0" w:color="auto"/>
                <w:left w:val="none" w:sz="0" w:space="0" w:color="auto"/>
                <w:bottom w:val="none" w:sz="0" w:space="0" w:color="auto"/>
                <w:right w:val="none" w:sz="0" w:space="0" w:color="auto"/>
              </w:divBdr>
            </w:div>
            <w:div w:id="17976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21040412" TargetMode="External"/><Relationship Id="rId13" Type="http://schemas.openxmlformats.org/officeDocument/2006/relationships/hyperlink" Target="https://doi.org/10.1001/jamanetworkopen.2023.2019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eas.repec.org/a/gam/jijerp/v19y2022i15p9138-d872417.html" TargetMode="External"/><Relationship Id="rId12" Type="http://schemas.openxmlformats.org/officeDocument/2006/relationships/hyperlink" Target="https://doi.org/10.5888/pcd20.2300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901981211011581" TargetMode="External"/><Relationship Id="rId5" Type="http://schemas.openxmlformats.org/officeDocument/2006/relationships/footnotes" Target="footnotes.xml"/><Relationship Id="rId15" Type="http://schemas.openxmlformats.org/officeDocument/2006/relationships/hyperlink" Target="https://doi.org/10.3389/fnut.2024.1399402" TargetMode="External"/><Relationship Id="rId10" Type="http://schemas.openxmlformats.org/officeDocument/2006/relationships/hyperlink" Target="https://doi.org/10.1016/j.jand.2025.04.002" TargetMode="External"/><Relationship Id="rId4" Type="http://schemas.openxmlformats.org/officeDocument/2006/relationships/webSettings" Target="webSettings.xml"/><Relationship Id="rId9" Type="http://schemas.openxmlformats.org/officeDocument/2006/relationships/hyperlink" Target="https://doi.org/10.1016/j.apgeog.2025.103748" TargetMode="External"/><Relationship Id="rId14" Type="http://schemas.openxmlformats.org/officeDocument/2006/relationships/hyperlink" Target="https://doi.org/10.1016/j.healthplace.2023.103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15</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2026-04-27T23:36:00Z</dcterms:created>
  <dcterms:modified xsi:type="dcterms:W3CDTF">2026-04-28T05:12:00Z</dcterms:modified>
</cp:coreProperties>
</file>