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C14C7" w14:textId="77777777" w:rsidR="00ED2C27" w:rsidRDefault="00000000" w:rsidP="00EB5599">
      <w:r>
        <w:t>Microbiology 3890 Lab Report</w:t>
      </w:r>
    </w:p>
    <w:p w14:paraId="6F15EB56" w14:textId="77777777" w:rsidR="00ED2C27" w:rsidRDefault="00000000">
      <w:pPr>
        <w:spacing w:line="480" w:lineRule="auto"/>
        <w:jc w:val="center"/>
      </w:pPr>
      <w:r>
        <w:t>Makaila W. Smith</w:t>
      </w:r>
    </w:p>
    <w:p w14:paraId="36F2224D" w14:textId="77777777" w:rsidR="00ED2C27" w:rsidRDefault="00000000">
      <w:pPr>
        <w:spacing w:line="480" w:lineRule="auto"/>
        <w:jc w:val="center"/>
      </w:pPr>
      <w:r>
        <w:rPr>
          <w:b/>
          <w:bCs/>
        </w:rPr>
        <w:t>Metagenomic Analysis of Environmental Microbiota Using 16S rRNA Sequencing</w:t>
      </w:r>
    </w:p>
    <w:p w14:paraId="021AB8B8" w14:textId="77777777" w:rsidR="00ED2C27" w:rsidRDefault="00000000">
      <w:pPr>
        <w:spacing w:line="480" w:lineRule="auto"/>
        <w:jc w:val="center"/>
      </w:pPr>
      <w:r>
        <w:t>Spring 2026</w:t>
      </w:r>
    </w:p>
    <w:p w14:paraId="562D2F07" w14:textId="77777777" w:rsidR="00ED2C27" w:rsidRDefault="00ED2C27">
      <w:pPr>
        <w:spacing w:line="480" w:lineRule="auto"/>
      </w:pPr>
    </w:p>
    <w:p w14:paraId="1E7204A0" w14:textId="77777777" w:rsidR="00ED2C27" w:rsidRDefault="00000000">
      <w:pPr>
        <w:spacing w:before="240" w:after="120" w:line="480" w:lineRule="auto"/>
        <w:jc w:val="center"/>
      </w:pPr>
      <w:r>
        <w:rPr>
          <w:b/>
          <w:bCs/>
          <w:u w:val="single"/>
        </w:rPr>
        <w:t>Introduction</w:t>
      </w:r>
    </w:p>
    <w:p w14:paraId="0F6E17BA" w14:textId="35BC21EE" w:rsidR="00844141" w:rsidRDefault="00844141" w:rsidP="00844141">
      <w:pPr>
        <w:spacing w:line="480" w:lineRule="auto"/>
        <w:ind w:firstLine="720"/>
        <w:jc w:val="both"/>
      </w:pPr>
      <w:r>
        <w:t xml:space="preserve">Microbiology is the science that </w:t>
      </w:r>
      <w:r w:rsidR="004E70A7">
        <w:t>researches</w:t>
      </w:r>
      <w:r>
        <w:t xml:space="preserve"> microorganisms, living things that are too small to be observed with the naked eye</w:t>
      </w:r>
      <w:r w:rsidR="004E70A7">
        <w:t>,</w:t>
      </w:r>
      <w:r>
        <w:t xml:space="preserve"> such as bacteria, archaea, fungi, protozoa, algae</w:t>
      </w:r>
      <w:r w:rsidR="004E70A7">
        <w:t>,</w:t>
      </w:r>
      <w:r>
        <w:t xml:space="preserve"> and viruses (Madigan et al., 2020). These microscopic life forms are basically found in all places on earth</w:t>
      </w:r>
      <w:r w:rsidR="004E70A7">
        <w:t>,</w:t>
      </w:r>
      <w:r>
        <w:t xml:space="preserve"> be it on soil, freshwater, the human gut</w:t>
      </w:r>
      <w:r w:rsidR="004E70A7">
        <w:t>,</w:t>
      </w:r>
      <w:r>
        <w:t xml:space="preserve"> or </w:t>
      </w:r>
      <w:r w:rsidR="004E70A7">
        <w:t>in</w:t>
      </w:r>
      <w:r>
        <w:t xml:space="preserve"> sea sediments. Their ecological functions are immense: bacteria break down organic matter, nutrients like nitrogen and carbon, they make oxygen during photosynthesis (with cyanobacteria), and they develop a mutualistic relationship with plants and animals (Jansson and Hofmockel, 2020). Pathogenic species, in turn, induce a broad spectrum of diseases in humans, animals, and plants, which is why the identification and characterization of microbial communities is on the agenda of population health, agriculture, and ecology.</w:t>
      </w:r>
    </w:p>
    <w:p w14:paraId="0F3F2F0C" w14:textId="0285EBC3" w:rsidR="00844141" w:rsidRDefault="00844141" w:rsidP="00844141">
      <w:pPr>
        <w:spacing w:line="480" w:lineRule="auto"/>
        <w:ind w:firstLine="720"/>
        <w:jc w:val="both"/>
      </w:pPr>
      <w:r>
        <w:t xml:space="preserve">Although still considered fundamental, traditional culture-based approaches in microbiology only identify a small percentage of microorganisms that occur in a specific environment, with most bacteria being unable to grow </w:t>
      </w:r>
      <w:r w:rsidR="004E70A7">
        <w:t>in a</w:t>
      </w:r>
      <w:r>
        <w:t xml:space="preserve"> standard laboratory environment. This anomaly is known as the great plate count anomaly and explains the necessity of culture- independent methodologies (Thompson et al., 2020). The use of </w:t>
      </w:r>
      <w:r w:rsidR="004E70A7">
        <w:t xml:space="preserve">the </w:t>
      </w:r>
      <w:r>
        <w:t xml:space="preserve">16S ribosomal RNA (rRNA) gene as a molecular marker of bacterial identification is one of these. The 16S rRNA is a gene of the small subunit of bacterial </w:t>
      </w:r>
      <w:r w:rsidR="004E70A7">
        <w:t>ribosomes</w:t>
      </w:r>
      <w:r>
        <w:t xml:space="preserve"> and is found everywhere in all prokaryotic domains. It has the most conserved areas (where primer design is designed) and hypervariable areas (V1–V9) that </w:t>
      </w:r>
      <w:r>
        <w:lastRenderedPageBreak/>
        <w:t>vary to the extent of becoming phylogenetic fingerprints (Lagier et al., 2021). The identification of bacterial species by sequencing these variable regions is highly accurate and does not require any cultivation.</w:t>
      </w:r>
    </w:p>
    <w:p w14:paraId="4720DBD3" w14:textId="77777777" w:rsidR="00844141" w:rsidRDefault="00844141" w:rsidP="00844141">
      <w:pPr>
        <w:spacing w:line="480" w:lineRule="auto"/>
        <w:ind w:firstLine="720"/>
        <w:jc w:val="both"/>
      </w:pPr>
      <w:r>
        <w:t>Metagenomics builds upon this idea by isolating and sequencing all genetic material in an environmental sample, and enables the discovery of complete microbial communities (Quince et al., 2017). Within the framework of this experiment, the metagenomic methods of MinION nanopore sequencing technology were used to describe the composition of the bacterial community in the soil samples. Oxford Nanopore MinION is a long-read sequencing technology that is based on real-time analysis and has high portability, thus it is especially applicable in fields and classrooms (Cusco et al., 2019). With nanopore sequencing in combination with 16S rRNA amplification, one can get a clear picture of microbial diversity in complex environmental samples.</w:t>
      </w:r>
    </w:p>
    <w:p w14:paraId="15BFE55C" w14:textId="06FCD08A" w:rsidR="00844141" w:rsidRDefault="00844141" w:rsidP="00844141">
      <w:pPr>
        <w:spacing w:line="480" w:lineRule="auto"/>
        <w:ind w:firstLine="720"/>
        <w:jc w:val="both"/>
      </w:pPr>
      <w:r>
        <w:t>This experiment aimed to describe the composition of a bacterial community of environmental soil samples through 16S rRNA gene sequencing on the MinION platform. Particularly, this research was set to find out which phyla and genera of bacteria were most prevalent in all the sequenced sections</w:t>
      </w:r>
      <w:r w:rsidR="004E70A7">
        <w:t>,</w:t>
      </w:r>
      <w:r>
        <w:t xml:space="preserve"> and a more detailed analysis of samples linked to barcodes 8 and 9. According to the characteristics of the samples (soil) and previous studies on the ecology of soil microboxes, it was assumed that the common phyla detected </w:t>
      </w:r>
      <w:r w:rsidR="004E70A7">
        <w:t>would</w:t>
      </w:r>
      <w:r>
        <w:t xml:space="preserve"> be Proteobacteria and Firmicutes</w:t>
      </w:r>
      <w:r w:rsidR="004E70A7">
        <w:t>,</w:t>
      </w:r>
      <w:r>
        <w:t xml:space="preserve"> with the presence of a variety of genera of both common soil-dwelling and possible plant-associated bacteria.</w:t>
      </w:r>
    </w:p>
    <w:p w14:paraId="7DCC9865" w14:textId="77777777" w:rsidR="00844141" w:rsidRPr="00844141" w:rsidRDefault="00844141" w:rsidP="00844141">
      <w:pPr>
        <w:spacing w:line="480" w:lineRule="auto"/>
        <w:jc w:val="both"/>
        <w:rPr>
          <w:b/>
          <w:bCs/>
        </w:rPr>
      </w:pPr>
      <w:r w:rsidRPr="00844141">
        <w:rPr>
          <w:b/>
          <w:bCs/>
        </w:rPr>
        <w:t>Materials and Methods</w:t>
      </w:r>
    </w:p>
    <w:p w14:paraId="2CFF544D" w14:textId="77777777" w:rsidR="00844141" w:rsidRPr="00844141" w:rsidRDefault="00844141" w:rsidP="00844141">
      <w:pPr>
        <w:spacing w:line="480" w:lineRule="auto"/>
        <w:jc w:val="center"/>
        <w:rPr>
          <w:b/>
          <w:bCs/>
        </w:rPr>
      </w:pPr>
      <w:r w:rsidRPr="00844141">
        <w:rPr>
          <w:b/>
          <w:bCs/>
        </w:rPr>
        <w:t>Sample Collection</w:t>
      </w:r>
    </w:p>
    <w:p w14:paraId="5A51E051" w14:textId="270D8480" w:rsidR="00844141" w:rsidRDefault="00844141" w:rsidP="00844141">
      <w:pPr>
        <w:spacing w:line="480" w:lineRule="auto"/>
        <w:ind w:firstLine="720"/>
        <w:jc w:val="both"/>
      </w:pPr>
      <w:r>
        <w:t>Course instructors and teaching assistants were able to collect environmental samples</w:t>
      </w:r>
      <w:r w:rsidR="004E70A7">
        <w:t>,</w:t>
      </w:r>
      <w:r>
        <w:t xml:space="preserve"> such as soil</w:t>
      </w:r>
      <w:r w:rsidR="004E70A7">
        <w:t>,</w:t>
      </w:r>
      <w:r>
        <w:t xml:space="preserve"> in particular locations. Sample barcodes were given to each sample to be </w:t>
      </w:r>
      <w:r w:rsidR="004E70A7">
        <w:t>sequenced downstream in a multiplex</w:t>
      </w:r>
      <w:r>
        <w:t xml:space="preserve">. Sampling was done </w:t>
      </w:r>
      <w:r w:rsidR="004E70A7">
        <w:t>using</w:t>
      </w:r>
      <w:r>
        <w:t xml:space="preserve"> sterile technique</w:t>
      </w:r>
      <w:r w:rsidR="004E70A7">
        <w:t>,</w:t>
      </w:r>
      <w:r>
        <w:t xml:space="preserve"> and the samples were stored accordingly before the DNA was extracted. The sites of collection of samples were made to represent the microbial diversity of the environment that is of interest to the course objectives.</w:t>
      </w:r>
    </w:p>
    <w:p w14:paraId="28F6C21F" w14:textId="77777777" w:rsidR="00844141" w:rsidRPr="00844141" w:rsidRDefault="00844141" w:rsidP="00844141">
      <w:pPr>
        <w:spacing w:line="480" w:lineRule="auto"/>
        <w:jc w:val="center"/>
        <w:rPr>
          <w:b/>
          <w:bCs/>
        </w:rPr>
      </w:pPr>
      <w:r w:rsidRPr="00844141">
        <w:rPr>
          <w:b/>
          <w:bCs/>
        </w:rPr>
        <w:t>DNA Extraction</w:t>
      </w:r>
    </w:p>
    <w:p w14:paraId="1D81EE63" w14:textId="28AB57D5" w:rsidR="00844141" w:rsidRDefault="00844141" w:rsidP="00844141">
      <w:pPr>
        <w:spacing w:line="480" w:lineRule="auto"/>
        <w:ind w:firstLine="720"/>
        <w:jc w:val="both"/>
      </w:pPr>
      <w:r>
        <w:t>The GenEluteTM Bacterial Genomic DNA Kit (Sigma-Aldrich) was used to extract genomic DNA of soil samples</w:t>
      </w:r>
      <w:r w:rsidR="004E70A7">
        <w:t>,</w:t>
      </w:r>
      <w:r>
        <w:t xml:space="preserve"> but using the protocol of the kit with environmental samples. In short, the pellet of soil was lysed by chemical and enzyme lysis, Lysis Solution T, Proteinase K</w:t>
      </w:r>
      <w:r w:rsidR="004E70A7">
        <w:t>,</w:t>
      </w:r>
      <w:r>
        <w:t xml:space="preserve"> as well as Lysis Solution C at 55 o C. High-salt conditions were done on the DNA on a silica membrane column, which was washed twice to eliminate cellular debris and contaminants</w:t>
      </w:r>
      <w:r w:rsidR="004E70A7">
        <w:t>,</w:t>
      </w:r>
      <w:r>
        <w:t xml:space="preserve"> and then the DNA was eluted into 100 µL of Elution Solution. The purity and concentration </w:t>
      </w:r>
      <w:r w:rsidR="004E70A7">
        <w:t>were</w:t>
      </w:r>
      <w:r>
        <w:t xml:space="preserve"> determined with the aid of a NanoDrop spectrophotometer </w:t>
      </w:r>
      <w:r w:rsidR="004E70A7">
        <w:t>by</w:t>
      </w:r>
      <w:r>
        <w:t xml:space="preserve"> measuring A260/A280 and A260/A230.</w:t>
      </w:r>
    </w:p>
    <w:p w14:paraId="38DA2DEC" w14:textId="77777777" w:rsidR="00844141" w:rsidRPr="00844141" w:rsidRDefault="00844141" w:rsidP="00844141">
      <w:pPr>
        <w:spacing w:line="480" w:lineRule="auto"/>
        <w:jc w:val="center"/>
        <w:rPr>
          <w:b/>
          <w:bCs/>
        </w:rPr>
      </w:pPr>
      <w:r w:rsidRPr="00844141">
        <w:rPr>
          <w:b/>
          <w:bCs/>
        </w:rPr>
        <w:t>PCR and PCR Clean-Up</w:t>
      </w:r>
    </w:p>
    <w:p w14:paraId="25209C1D" w14:textId="49696ACA" w:rsidR="00844141" w:rsidRDefault="00844141" w:rsidP="00844141">
      <w:pPr>
        <w:spacing w:line="480" w:lineRule="auto"/>
        <w:ind w:firstLine="720"/>
        <w:jc w:val="both"/>
      </w:pPr>
      <w:r>
        <w:t xml:space="preserve">Extraction DNA was amplified using universal bacterial primers in the V3 V4 hypervariable regions of the 16S rRNA gene. DreamTaqTM Master Mix (Thermo Fisher Scientific) was used in a 50 µL reaction with 25 µL master mix, 1 µL forward and reverse primers, extraction product, and nuclease-free water added. The thermal cycling conditions comprised a </w:t>
      </w:r>
      <w:r w:rsidR="004E70A7">
        <w:t>preliminary</w:t>
      </w:r>
      <w:r>
        <w:t xml:space="preserve"> denaturation phase and 30 cycles of denaturation (98 o C), annealing (56 o C), and extension (72 o C)</w:t>
      </w:r>
      <w:r w:rsidR="004E70A7">
        <w:t>,</w:t>
      </w:r>
      <w:r>
        <w:t xml:space="preserve"> and a final extension step. Afterwards, PCR products were purified with GenEluteTM PCR Cleanup Kit (Sigma-Aldrich) to eliminate remaining primers, dNTPs, enzymes</w:t>
      </w:r>
      <w:r w:rsidR="004E70A7">
        <w:t>,</w:t>
      </w:r>
      <w:r>
        <w:t xml:space="preserve"> and salts before being sequenced.</w:t>
      </w:r>
    </w:p>
    <w:p w14:paraId="1A2B4A75" w14:textId="77777777" w:rsidR="00844141" w:rsidRPr="00844141" w:rsidRDefault="00844141" w:rsidP="00844141">
      <w:pPr>
        <w:spacing w:line="480" w:lineRule="auto"/>
        <w:jc w:val="center"/>
        <w:rPr>
          <w:b/>
          <w:bCs/>
        </w:rPr>
      </w:pPr>
      <w:r w:rsidRPr="00844141">
        <w:rPr>
          <w:b/>
          <w:bCs/>
        </w:rPr>
        <w:t>Gel Electrophoresis</w:t>
      </w:r>
    </w:p>
    <w:p w14:paraId="09D425C7" w14:textId="33E45D40" w:rsidR="00844141" w:rsidRDefault="00844141" w:rsidP="00844141">
      <w:pPr>
        <w:spacing w:line="480" w:lineRule="auto"/>
        <w:ind w:firstLine="720"/>
        <w:jc w:val="both"/>
      </w:pPr>
      <w:r>
        <w:t xml:space="preserve">The 2% agarose gel electrophoresis was used to visualize PCR products by loading them in 1X TAE buffer with 5 µL SYBR Safe DNA stain. The gel was stained and run at 200 mv in a </w:t>
      </w:r>
      <w:r w:rsidR="004E70A7">
        <w:t>30-minute</w:t>
      </w:r>
      <w:r>
        <w:t xml:space="preserve"> run with a 1 kb DNA ladder. A gel documentation system was used to visualize the bands under UV transillumination. PCR amplicons were identified</w:t>
      </w:r>
      <w:r w:rsidR="004E70A7">
        <w:t>,</w:t>
      </w:r>
      <w:r>
        <w:t xml:space="preserve"> and their approximate size was noted.</w:t>
      </w:r>
    </w:p>
    <w:p w14:paraId="39626A94" w14:textId="77777777" w:rsidR="00844141" w:rsidRPr="00844141" w:rsidRDefault="00844141" w:rsidP="00844141">
      <w:pPr>
        <w:spacing w:line="480" w:lineRule="auto"/>
        <w:jc w:val="center"/>
        <w:rPr>
          <w:b/>
          <w:bCs/>
        </w:rPr>
      </w:pPr>
      <w:r w:rsidRPr="00844141">
        <w:rPr>
          <w:b/>
          <w:bCs/>
        </w:rPr>
        <w:t>Sequencing</w:t>
      </w:r>
    </w:p>
    <w:p w14:paraId="0F9F7E98" w14:textId="57A170A4" w:rsidR="00844141" w:rsidRDefault="00844141" w:rsidP="00844141">
      <w:pPr>
        <w:spacing w:line="480" w:lineRule="auto"/>
        <w:ind w:firstLine="720"/>
        <w:jc w:val="both"/>
      </w:pPr>
      <w:r>
        <w:t xml:space="preserve">Ontology Sequence purified PCR products were barcoded and sequenced on the Oxford Nanopore MinION platform. A different barcode was given to each sample to allow the sequencing of two or more samples in a single run. Raw reads obtained were basecalled and demultiplexed with </w:t>
      </w:r>
      <w:r w:rsidR="004E70A7">
        <w:t xml:space="preserve">the </w:t>
      </w:r>
      <w:r>
        <w:t>MinKNOW software suite. Taxonomic assignment was done according to the EPI2ME 16S workflow</w:t>
      </w:r>
      <w:r w:rsidR="004E70A7">
        <w:t>,</w:t>
      </w:r>
      <w:r>
        <w:t xml:space="preserve"> which assigns reads to bacterial taxa on various levels (phylum, genus, species) according to alignment to the SILVA/Greengenes reference database. The visualization of the results was done using cumulative read counts and phylogenetic trees in the EPI2ME interface. All barcodes were analyzed</w:t>
      </w:r>
      <w:r w:rsidR="004E70A7">
        <w:t>,</w:t>
      </w:r>
      <w:r>
        <w:t xml:space="preserve"> and the total number of reads was 577,658 (Figure 3). In this report, the analysis of barcode 8 and 9 results was done, as these were the samples of the team.</w:t>
      </w:r>
    </w:p>
    <w:p w14:paraId="41E538A5" w14:textId="77777777" w:rsidR="00844141" w:rsidRPr="00844141" w:rsidRDefault="00844141" w:rsidP="00844141">
      <w:pPr>
        <w:spacing w:line="480" w:lineRule="auto"/>
        <w:jc w:val="center"/>
        <w:rPr>
          <w:b/>
          <w:bCs/>
        </w:rPr>
      </w:pPr>
      <w:r w:rsidRPr="00844141">
        <w:rPr>
          <w:b/>
          <w:bCs/>
        </w:rPr>
        <w:t>Results</w:t>
      </w:r>
    </w:p>
    <w:p w14:paraId="11BAF5F9" w14:textId="77777777" w:rsidR="00844141" w:rsidRPr="00844141" w:rsidRDefault="00844141" w:rsidP="00844141">
      <w:pPr>
        <w:spacing w:line="480" w:lineRule="auto"/>
        <w:jc w:val="both"/>
        <w:rPr>
          <w:b/>
          <w:bCs/>
        </w:rPr>
      </w:pPr>
      <w:r w:rsidRPr="00844141">
        <w:rPr>
          <w:b/>
          <w:bCs/>
        </w:rPr>
        <w:t>Sample Collection</w:t>
      </w:r>
    </w:p>
    <w:p w14:paraId="5FCFBF0C" w14:textId="4C7B17BD" w:rsidR="00ED2C27" w:rsidRDefault="00844141" w:rsidP="00844141">
      <w:pPr>
        <w:spacing w:line="480" w:lineRule="auto"/>
        <w:ind w:firstLine="720"/>
        <w:jc w:val="both"/>
      </w:pPr>
      <w:r>
        <w:t>Course instructors took environmental soil samples in specific places outside. The samples were processed with a barcode assigned to each. The barcodes of the samples used by this team were 8 and 9, which denoted soil samples obtained at one environmental region. The time of collection did not have any macroscopic contaminant.</w:t>
      </w:r>
    </w:p>
    <w:p w14:paraId="08D21D1F" w14:textId="77777777" w:rsidR="004E70A7" w:rsidRPr="004E70A7" w:rsidRDefault="004E70A7" w:rsidP="004E70A7">
      <w:pPr>
        <w:spacing w:line="480" w:lineRule="auto"/>
        <w:jc w:val="both"/>
        <w:rPr>
          <w:b/>
          <w:bCs/>
        </w:rPr>
      </w:pPr>
      <w:r w:rsidRPr="004E70A7">
        <w:rPr>
          <w:b/>
          <w:bCs/>
        </w:rPr>
        <w:t>DNA Extraction Results</w:t>
      </w:r>
    </w:p>
    <w:p w14:paraId="7FB3E70E" w14:textId="440D412B" w:rsidR="004E70A7" w:rsidRDefault="004E70A7" w:rsidP="004E70A7">
      <w:pPr>
        <w:spacing w:line="480" w:lineRule="auto"/>
        <w:ind w:firstLine="720"/>
        <w:jc w:val="both"/>
      </w:pPr>
      <w:r>
        <w:t xml:space="preserve">The soil samples were extracted with </w:t>
      </w:r>
      <w:r>
        <w:t>GenElute™</w:t>
      </w:r>
      <w:r>
        <w:t xml:space="preserve"> Bacterial Genomic DNA Kit</w:t>
      </w:r>
      <w:r>
        <w:t>,</w:t>
      </w:r>
      <w:r>
        <w:t xml:space="preserve"> and the resulting samples were eluted in 100 uL of Elution Solution, which was successfully extracted into genomic DNA. The eluate recovered was in a clear and transparent liquid inside a microcentrifuge tube, which is in line with </w:t>
      </w:r>
      <w:r>
        <w:t xml:space="preserve">the </w:t>
      </w:r>
      <w:r>
        <w:t xml:space="preserve">successful recovery of the nucleic acids. NanoDrop spectrophotometry was carried out to determine the purity of samples based on the ratio of absorbance A260/ A280 and A260/ A230, but reliable quantitative data </w:t>
      </w:r>
      <w:r>
        <w:t>were</w:t>
      </w:r>
      <w:r>
        <w:t xml:space="preserve"> not obtained during the laboratory lesson. Consequently, </w:t>
      </w:r>
      <w:r>
        <w:t xml:space="preserve">the </w:t>
      </w:r>
      <w:r>
        <w:t>correct purity and concentration of the DNA could not be verified before the PCR amplification.</w:t>
      </w:r>
    </w:p>
    <w:p w14:paraId="1A43B195" w14:textId="77777777" w:rsidR="004E70A7" w:rsidRPr="004E70A7" w:rsidRDefault="004E70A7" w:rsidP="004E70A7">
      <w:pPr>
        <w:spacing w:line="480" w:lineRule="auto"/>
        <w:jc w:val="both"/>
        <w:rPr>
          <w:b/>
          <w:bCs/>
        </w:rPr>
      </w:pPr>
      <w:r w:rsidRPr="004E70A7">
        <w:rPr>
          <w:b/>
          <w:bCs/>
        </w:rPr>
        <w:t>Gel Electrophoresis</w:t>
      </w:r>
    </w:p>
    <w:p w14:paraId="32006A8F" w14:textId="73CE6923" w:rsidR="004E70A7" w:rsidRDefault="004E70A7" w:rsidP="004E70A7">
      <w:pPr>
        <w:spacing w:line="480" w:lineRule="auto"/>
        <w:ind w:firstLine="720"/>
        <w:jc w:val="both"/>
      </w:pPr>
      <w:r>
        <w:t>After the amplification</w:t>
      </w:r>
      <w:r>
        <w:t>,</w:t>
      </w:r>
      <w:r>
        <w:t xml:space="preserve"> the product was purified using PCR</w:t>
      </w:r>
      <w:r>
        <w:t>,</w:t>
      </w:r>
      <w:r>
        <w:t xml:space="preserve"> followed by the resolution of the product on a 2% agarose gel at 200 mV during a period of 30 minutes with a 1 kb DNA ladder. In lanes with the barcodes of 8 and 9, the presence of no visible band was detected. Lanes next to the other teams showed faint bands that were in accordance </w:t>
      </w:r>
      <w:r>
        <w:t>with</w:t>
      </w:r>
      <w:r>
        <w:t xml:space="preserve"> the anticipated size of the 16S rRNA amplicon</w:t>
      </w:r>
      <w:r>
        <w:t>, which</w:t>
      </w:r>
      <w:r>
        <w:t xml:space="preserve"> is about 1,500 bp, which is in the range of the 1 kb and 2 kb DNA ladder. Lack of a band at barcodes 8 and 9 was not seen as an indication of poor amplification, since subsequent sequencing reads at these samples were successful, and showed that amplifiable DNA was present.</w:t>
      </w:r>
    </w:p>
    <w:p w14:paraId="33C99B8A" w14:textId="77777777" w:rsidR="004E70A7" w:rsidRPr="004E70A7" w:rsidRDefault="004E70A7" w:rsidP="004E70A7">
      <w:pPr>
        <w:spacing w:line="480" w:lineRule="auto"/>
        <w:jc w:val="both"/>
        <w:rPr>
          <w:b/>
          <w:bCs/>
        </w:rPr>
      </w:pPr>
      <w:r w:rsidRPr="004E70A7">
        <w:rPr>
          <w:b/>
          <w:bCs/>
        </w:rPr>
        <w:t>Sequencing Results</w:t>
      </w:r>
    </w:p>
    <w:p w14:paraId="5860C609" w14:textId="7DCCD5A2" w:rsidR="004E70A7" w:rsidRDefault="004E70A7" w:rsidP="004E70A7">
      <w:pPr>
        <w:spacing w:line="480" w:lineRule="auto"/>
        <w:ind w:firstLine="720"/>
        <w:jc w:val="both"/>
      </w:pPr>
      <w:r>
        <w:t>All barcoded samples sequenced using the MinION nanopore sequencing yielded a total of 577,658 reads that were sequenced in all sections. Out of them, 555,651 reads (96%) were correctly classified, and 22006 reads (4) were not classified. Mean sequencing accuracy of all sections was 86, mean quality score was 10.14, mean length of sequence was 1,362 bp</w:t>
      </w:r>
      <w:r>
        <w:t>,</w:t>
      </w:r>
      <w:r>
        <w:t xml:space="preserve"> and total yield was 786.9 Mbases.</w:t>
      </w:r>
    </w:p>
    <w:p w14:paraId="139A3D5C" w14:textId="22001128" w:rsidR="004E70A7" w:rsidRDefault="004E70A7" w:rsidP="004E70A7">
      <w:pPr>
        <w:spacing w:line="480" w:lineRule="auto"/>
        <w:ind w:firstLine="720"/>
        <w:jc w:val="both"/>
      </w:pPr>
      <w:r>
        <w:t>The most represented taxon at the phylum level in all sections was Firmicutes, which represented 302,493 reads. Proteobacteria (156,733 reads), Bacteroidetes (37,195 reads), Acidobacteria (20,041 reads)</w:t>
      </w:r>
      <w:r>
        <w:t>,</w:t>
      </w:r>
      <w:r>
        <w:t xml:space="preserve"> and Cyanobacteria (13,688 reads) followed afterwards. An analysis of these data into a phylogenetic tree showed six major phyla to split off a common root node together with the five above-mentioned</w:t>
      </w:r>
      <w:r>
        <w:t>,</w:t>
      </w:r>
      <w:r>
        <w:t xml:space="preserve"> plus Planctomycetes.</w:t>
      </w:r>
    </w:p>
    <w:p w14:paraId="1F30B017" w14:textId="71CC7A71" w:rsidR="004E70A7" w:rsidRDefault="004E70A7" w:rsidP="004E70A7">
      <w:pPr>
        <w:spacing w:line="480" w:lineRule="auto"/>
        <w:ind w:firstLine="720"/>
        <w:jc w:val="both"/>
      </w:pPr>
      <w:r>
        <w:t>In the case of barcodes 8 and 9 in particular, 6,725 reads were examined</w:t>
      </w:r>
      <w:r>
        <w:t>,</w:t>
      </w:r>
      <w:r>
        <w:t xml:space="preserve"> 6,225 (93) of which were classified</w:t>
      </w:r>
      <w:r>
        <w:t>,</w:t>
      </w:r>
      <w:r>
        <w:t xml:space="preserve"> and 500 (7) that were unclassified. The overall accuracy of such barcodes was 85 percent, with </w:t>
      </w:r>
      <w:r>
        <w:t>an</w:t>
      </w:r>
      <w:r>
        <w:t xml:space="preserve"> average quality of 10.36, </w:t>
      </w:r>
      <w:r>
        <w:t xml:space="preserve">an </w:t>
      </w:r>
      <w:r>
        <w:t xml:space="preserve">average length of the sequences was 1459 bp, and </w:t>
      </w:r>
      <w:r>
        <w:t xml:space="preserve">the </w:t>
      </w:r>
      <w:r>
        <w:t xml:space="preserve">total yield was 9.8 Mbases. Proteobacteria </w:t>
      </w:r>
      <w:r>
        <w:t>were</w:t>
      </w:r>
      <w:r>
        <w:t xml:space="preserve"> the most widespread taxon at the phylum level (3127 reads), then Acidobacteria (857 reads), Bacteroidetes (682 reads), Cyanobacteria (555 reads), and Planctomycota (245 reads). A phylogenetic tree of both barcode 8 and 9 data revealed that Proteobacteria was the most conspicuous classified branch</w:t>
      </w:r>
      <w:r>
        <w:t>,</w:t>
      </w:r>
      <w:r>
        <w:t xml:space="preserve"> whereas Planctomycetes was the most </w:t>
      </w:r>
      <w:r>
        <w:t>distant</w:t>
      </w:r>
      <w:r>
        <w:t xml:space="preserve"> lineage.</w:t>
      </w:r>
    </w:p>
    <w:p w14:paraId="29E028A4" w14:textId="77777777" w:rsidR="004E70A7" w:rsidRDefault="004E70A7" w:rsidP="004E70A7">
      <w:pPr>
        <w:spacing w:line="480" w:lineRule="auto"/>
        <w:ind w:firstLine="720"/>
        <w:jc w:val="both"/>
      </w:pPr>
      <w:r>
        <w:t>The species with the highest number of reads at the genus level in barcodes 8 and 9 were Ferruginibacter (109 reads), Mucilaginibacter (86 reads), Caballeronia (74 reads), Bradyrhizobium (73 reads), Geobacter (61 reads), Massilia (58 reads), Terrimonas (54 reads), Variovorax (46 reads), Sphingomonas (46 reads), Bacillus (42 reads), Flavobacterium (37 reads), and Xanth</w:t>
      </w:r>
    </w:p>
    <w:p w14:paraId="7F7737EF" w14:textId="48D6A5F3" w:rsidR="004E70A7" w:rsidRDefault="004E70A7" w:rsidP="004E70A7">
      <w:pPr>
        <w:spacing w:line="480" w:lineRule="auto"/>
        <w:ind w:firstLine="720"/>
        <w:jc w:val="both"/>
      </w:pPr>
      <w:r>
        <w:t>Further diversity was seen at the species level in some genera. In Ferruginibacter, four specimens were detected, including F. alkalilentus (45 reads), F. paludis (37 reads), F. lapsinanis (15 reads), and F. profundus (12 reads). In the Terrimonas, eight taxa were identified: T. soli (17 reads), T. terrae (13 reads), T. pekingensis (10 reads), T. crocea (7 reads), T. arctica (2 reads), T. ferruginea DSM 30193 (2 reads), T. lutea (2 reads), and T. ferruginea (1 read). In Variovorax, they were found in six taxa</w:t>
      </w:r>
      <w:r>
        <w:t>,</w:t>
      </w:r>
      <w:r>
        <w:t xml:space="preserve"> with V. ginsengisoli (19 reads) and V. soli (13 reads) being the most common. Sphingomonas contained ten species, but </w:t>
      </w:r>
      <w:r>
        <w:t xml:space="preserve">the </w:t>
      </w:r>
      <w:r>
        <w:t xml:space="preserve">most common </w:t>
      </w:r>
      <w:r>
        <w:t>were</w:t>
      </w:r>
      <w:r>
        <w:t xml:space="preserve"> S. ginsengisoli An et al. 2013 (7 reads) and S. mali (5 reads). In Xanthomonas</w:t>
      </w:r>
      <w:r>
        <w:t>,</w:t>
      </w:r>
      <w:r>
        <w:t xml:space="preserve"> eight species were identified</w:t>
      </w:r>
      <w:r>
        <w:t>,</w:t>
      </w:r>
      <w:r>
        <w:t xml:space="preserve"> with X. hyacinthi (9 reads) as the most frequent, followed by X. melonis (8 reads) and X. sacchari (7 reads).</w:t>
      </w:r>
    </w:p>
    <w:p w14:paraId="49741880" w14:textId="77777777" w:rsidR="004E70A7" w:rsidRPr="004E70A7" w:rsidRDefault="004E70A7" w:rsidP="004E70A7">
      <w:pPr>
        <w:spacing w:line="480" w:lineRule="auto"/>
        <w:jc w:val="center"/>
        <w:rPr>
          <w:b/>
          <w:bCs/>
        </w:rPr>
      </w:pPr>
      <w:r w:rsidRPr="004E70A7">
        <w:rPr>
          <w:b/>
          <w:bCs/>
        </w:rPr>
        <w:t>Discussion</w:t>
      </w:r>
    </w:p>
    <w:p w14:paraId="05DCCA02" w14:textId="17386678" w:rsidR="004E70A7" w:rsidRPr="004E70A7" w:rsidRDefault="004E70A7" w:rsidP="004E70A7">
      <w:pPr>
        <w:spacing w:line="480" w:lineRule="auto"/>
        <w:jc w:val="both"/>
        <w:rPr>
          <w:b/>
          <w:bCs/>
        </w:rPr>
      </w:pPr>
      <w:r w:rsidRPr="004E70A7">
        <w:rPr>
          <w:b/>
          <w:bCs/>
        </w:rPr>
        <w:t>DN</w:t>
      </w:r>
      <w:r w:rsidRPr="004E70A7">
        <w:rPr>
          <w:b/>
          <w:bCs/>
        </w:rPr>
        <w:t xml:space="preserve">A </w:t>
      </w:r>
      <w:r w:rsidRPr="004E70A7">
        <w:rPr>
          <w:b/>
          <w:bCs/>
        </w:rPr>
        <w:t>Extraction</w:t>
      </w:r>
    </w:p>
    <w:p w14:paraId="023E6A99" w14:textId="4FE81A27" w:rsidR="004E70A7" w:rsidRDefault="004E70A7" w:rsidP="004E70A7">
      <w:pPr>
        <w:spacing w:line="480" w:lineRule="auto"/>
        <w:ind w:firstLine="720"/>
        <w:jc w:val="both"/>
      </w:pPr>
      <w:r>
        <w:t xml:space="preserve">The nature of DNA extraction is inherently problematic with regard to environmental soil samples, which is a long-standing body of literature. Complex organic matter of soil includes humic acids, polysaccharides, and other co-extracted substances, which are known </w:t>
      </w:r>
      <w:r>
        <w:t xml:space="preserve">to inhibit </w:t>
      </w:r>
      <w:r>
        <w:t xml:space="preserve">Taq polymerase and other downstream enzymatic reactions (Jansson and Hofmockel, 2020). Despite the fact that the use of the </w:t>
      </w:r>
      <w:r>
        <w:t>GenElute</w:t>
      </w:r>
      <w:r>
        <w:t xml:space="preserve"> Bacterial Genomic DNA Kit was performed according to the protocols of the manufacturer, </w:t>
      </w:r>
      <w:r>
        <w:t xml:space="preserve">a </w:t>
      </w:r>
      <w:r>
        <w:t xml:space="preserve">credible NanoDrop absorbance reading was not achieved throughout the session. This implied that the A260/A280 value, which is the main indicator of protein contamination, and </w:t>
      </w:r>
      <w:r>
        <w:t xml:space="preserve">the </w:t>
      </w:r>
      <w:r>
        <w:t xml:space="preserve">A260/A230 value, which is used to measure humic acid and solvent carryover, could not be assessed. In the absence of these values, a confirmation of a </w:t>
      </w:r>
      <w:r>
        <w:t>high-quality</w:t>
      </w:r>
      <w:r>
        <w:t xml:space="preserve"> PCR amplification of the extracted DNA was impossible. This restriction added uncertainty to the upstream processes of the workflow and could be one of the reasons </w:t>
      </w:r>
      <w:r>
        <w:t>for</w:t>
      </w:r>
      <w:r>
        <w:t xml:space="preserve"> amplicon yield variation. </w:t>
      </w:r>
      <w:r>
        <w:t>Replicating</w:t>
      </w:r>
      <w:r>
        <w:t xml:space="preserve"> NanoDrop measurements or </w:t>
      </w:r>
      <w:r>
        <w:t xml:space="preserve">using </w:t>
      </w:r>
      <w:r>
        <w:t xml:space="preserve">a Qubit fluorometer (which can be used in </w:t>
      </w:r>
      <w:r>
        <w:t xml:space="preserve">the </w:t>
      </w:r>
      <w:r>
        <w:t>future to provide sensitive and specific fluorescence-based quantification of DNA) would be better to confirm the quality of the template in future experiments and then move on to PCR.</w:t>
      </w:r>
    </w:p>
    <w:p w14:paraId="2EEA5F76" w14:textId="77777777" w:rsidR="004E70A7" w:rsidRPr="004E70A7" w:rsidRDefault="004E70A7" w:rsidP="004E70A7">
      <w:pPr>
        <w:spacing w:line="480" w:lineRule="auto"/>
        <w:jc w:val="both"/>
        <w:rPr>
          <w:b/>
          <w:bCs/>
        </w:rPr>
      </w:pPr>
      <w:r w:rsidRPr="004E70A7">
        <w:rPr>
          <w:b/>
          <w:bCs/>
        </w:rPr>
        <w:t>Gel Electrophoresis</w:t>
      </w:r>
    </w:p>
    <w:p w14:paraId="705CF453" w14:textId="6AC2265A" w:rsidR="004E70A7" w:rsidRDefault="004E70A7" w:rsidP="004E70A7">
      <w:pPr>
        <w:spacing w:line="480" w:lineRule="auto"/>
        <w:ind w:firstLine="720"/>
        <w:jc w:val="both"/>
      </w:pPr>
      <w:r>
        <w:t xml:space="preserve">There were no bandages </w:t>
      </w:r>
      <w:r>
        <w:t>or</w:t>
      </w:r>
      <w:r>
        <w:t xml:space="preserve"> barcodes 8 and 9 on the image of the agarose gel</w:t>
      </w:r>
      <w:r>
        <w:t>,</w:t>
      </w:r>
      <w:r>
        <w:t xml:space="preserve"> which was received during the laboratory session. This finding, however, was not considered a demonstration of unsuccessful PCR amplification. The most plausible reason why the band was not observed is that the lanes with barcodes 8 and 9 were not loaded </w:t>
      </w:r>
      <w:r>
        <w:t xml:space="preserve">during </w:t>
      </w:r>
      <w:r>
        <w:t>that specific gel run</w:t>
      </w:r>
      <w:r>
        <w:t>,</w:t>
      </w:r>
      <w:r>
        <w:t xml:space="preserve"> since not all samples of all groups were represented on the gel loading scheme on that day. This is an important point: but the fact that a band is not visible in the gel does not mean that there was no DNA in the sample</w:t>
      </w:r>
      <w:r>
        <w:t>; instead,</w:t>
      </w:r>
      <w:r>
        <w:t xml:space="preserve"> it just implies that the sample was not physically put in a gel.</w:t>
      </w:r>
    </w:p>
    <w:p w14:paraId="391618C7" w14:textId="52436B68" w:rsidR="004E70A7" w:rsidRDefault="004E70A7" w:rsidP="004E70A7">
      <w:pPr>
        <w:spacing w:line="480" w:lineRule="auto"/>
        <w:ind w:firstLine="720"/>
        <w:jc w:val="both"/>
      </w:pPr>
      <w:r>
        <w:t>The MinION sequencing results are very much in favor of this interpretation. Classes 8 and 9 returned 6,225 classified reads of 6,725 total reads analyzed</w:t>
      </w:r>
      <w:r>
        <w:t>,</w:t>
      </w:r>
      <w:r>
        <w:t xml:space="preserve"> which depicts </w:t>
      </w:r>
      <w:r>
        <w:t xml:space="preserve">a </w:t>
      </w:r>
      <w:r>
        <w:t>93 percent classification rate. Such a high output of sequencing would not be achievable in the absence of PCR product</w:t>
      </w:r>
      <w:r>
        <w:t>,</w:t>
      </w:r>
      <w:r>
        <w:t xml:space="preserve"> absolutely, which proves that amplification actually took place and that there was sufficient template DNA available. The weak bands in the other team samples that are detected in adjacent lanes are not inconsistent with the anticipated size of the 16S rRNA amplicons being in the range of 1,500 bp, a typical result with universal primers binding specific areas of hypervariability, V3-V4, in the universal 16S rRNA gene. To avoid this kind of ambiguity in future experiments</w:t>
      </w:r>
      <w:r>
        <w:t>,</w:t>
      </w:r>
      <w:r>
        <w:t xml:space="preserve"> it would be advisable to make sure that each barcoded product in the gel loading plan is assigned a specific well and the gel loading plan is well labeled so that all the samples can be verified before sending </w:t>
      </w:r>
      <w:r>
        <w:t xml:space="preserve">them </w:t>
      </w:r>
      <w:r>
        <w:t>to sequencing.</w:t>
      </w:r>
    </w:p>
    <w:p w14:paraId="5656DE9D" w14:textId="77777777" w:rsidR="004E70A7" w:rsidRPr="004E70A7" w:rsidRDefault="004E70A7" w:rsidP="004E70A7">
      <w:pPr>
        <w:spacing w:line="480" w:lineRule="auto"/>
        <w:jc w:val="both"/>
        <w:rPr>
          <w:b/>
          <w:bCs/>
        </w:rPr>
      </w:pPr>
      <w:r w:rsidRPr="004E70A7">
        <w:rPr>
          <w:b/>
          <w:bCs/>
        </w:rPr>
        <w:t>Sequencing and Interpretation of Metagenomics.</w:t>
      </w:r>
    </w:p>
    <w:p w14:paraId="5DA7091F" w14:textId="77777777" w:rsidR="004E70A7" w:rsidRDefault="004E70A7" w:rsidP="004E70A7">
      <w:pPr>
        <w:spacing w:line="480" w:lineRule="auto"/>
        <w:ind w:firstLine="720"/>
        <w:jc w:val="both"/>
      </w:pPr>
      <w:r>
        <w:t>The data obtained with MinION sequencing gave an informative and detailed picture of the bacterial community that existed in the soil samples of the environment. The sequencing performance was good with a run classification rate of 96% on 577,658 total reads, and the mean accuracy of 86% showed the same consistency with the reported benchmarks on Oxford Nanopore 16S sequencing workflows (Cusco et al., 2019).</w:t>
      </w:r>
    </w:p>
    <w:p w14:paraId="6C15CD2A" w14:textId="20BC1844" w:rsidR="004E70A7" w:rsidRDefault="004E70A7" w:rsidP="004E70A7">
      <w:pPr>
        <w:spacing w:line="480" w:lineRule="auto"/>
        <w:ind w:firstLine="720"/>
        <w:jc w:val="both"/>
      </w:pPr>
      <w:r>
        <w:t xml:space="preserve">At the whole-run level, </w:t>
      </w:r>
      <w:r>
        <w:t>the predominant phylum</w:t>
      </w:r>
      <w:r>
        <w:t xml:space="preserve"> was Firmicutes with 302,493 reads. This is interesting due to the fact that Firmicutes are often linked to gram-positive, sporing bacteria that are tolerant of soils and also may survive under nutrient-limited or desiccated conditions. Nevertheless, in barcodes 8 and 9, Proteobacteria came out as the prevailing phylum of 3,127 reads that are more likely consistent with existing descriptions of soil microbial ecology in moisture-retaining, organically active soils (Thompson et al., 2020). This difference between the entire run results and barcodes 8 and 9 is probably due to actual </w:t>
      </w:r>
      <w:r>
        <w:t>site-to-site</w:t>
      </w:r>
      <w:r>
        <w:t xml:space="preserve"> variation in the soil composition, the organic matter levels</w:t>
      </w:r>
      <w:r>
        <w:t>,</w:t>
      </w:r>
      <w:r>
        <w:t xml:space="preserve"> and the moisture content of the soils in different locations</w:t>
      </w:r>
      <w:r>
        <w:t>,</w:t>
      </w:r>
      <w:r>
        <w:t xml:space="preserve"> each of </w:t>
      </w:r>
      <w:r>
        <w:t xml:space="preserve">which </w:t>
      </w:r>
      <w:r>
        <w:t>these teams collected soil.</w:t>
      </w:r>
    </w:p>
    <w:p w14:paraId="1B6CBB79" w14:textId="61ACD5CC" w:rsidR="004E70A7" w:rsidRDefault="004E70A7" w:rsidP="004E70A7">
      <w:pPr>
        <w:spacing w:line="480" w:lineRule="auto"/>
        <w:ind w:firstLine="720"/>
        <w:jc w:val="both"/>
      </w:pPr>
      <w:r>
        <w:t>It is ecologically informative that Ferruginibacter dominated at the genus level in the barcodes 8 and 9. Representatives of the genus Ferruginibacter are also members of the phylum Bacteroidetes, and they have been observed predominantly in the freshwater sediments and soil surrounding wetlands</w:t>
      </w:r>
      <w:r>
        <w:t>,</w:t>
      </w:r>
      <w:r>
        <w:t xml:space="preserve"> where they are involved in the degradation of complex polysaccharides and fixed organic matter (Guo et al., 2020). Their abundance in the sample has the potential to indicate such properties of the collection site as being close to a drainage structure or in a low-lying area where waterlogging is </w:t>
      </w:r>
      <w:r>
        <w:t>periodic</w:t>
      </w:r>
      <w:r>
        <w:t>.</w:t>
      </w:r>
    </w:p>
    <w:p w14:paraId="3560C422" w14:textId="4F22E349" w:rsidR="004E70A7" w:rsidRDefault="004E70A7" w:rsidP="004E70A7">
      <w:pPr>
        <w:spacing w:line="480" w:lineRule="auto"/>
        <w:ind w:firstLine="720"/>
        <w:jc w:val="both"/>
      </w:pPr>
      <w:r>
        <w:t xml:space="preserve">The identification of Bradyrhizobium (73 reads) and Caballeronia (74 reads) in the barcodes 8 and 9 </w:t>
      </w:r>
      <w:r>
        <w:t>has</w:t>
      </w:r>
      <w:r>
        <w:t xml:space="preserve"> a great ecological implication. The two genera belong to the Proteobacteria</w:t>
      </w:r>
      <w:r>
        <w:t>,</w:t>
      </w:r>
      <w:r>
        <w:t xml:space="preserve"> and they are both well defined as nitrogen-fixing symbionts and free-living diazotrophs in agricultural and natural soils. Root nodules with leguminous plants are formed by the Bradyrhizobium species</w:t>
      </w:r>
      <w:r>
        <w:t>,</w:t>
      </w:r>
      <w:r>
        <w:t xml:space="preserve"> which fix atmospheric nitrogen into the bioavailable forms, thus being at the center of </w:t>
      </w:r>
      <w:r>
        <w:t xml:space="preserve">the </w:t>
      </w:r>
      <w:r>
        <w:t>soil nitrogen cycle (Amadou et al., 2020). Their presence in the sampled soil indicates that the environment could have harbored leguminous flora or active free-living fixation of nitrogen</w:t>
      </w:r>
      <w:r>
        <w:t>,</w:t>
      </w:r>
      <w:r>
        <w:t xml:space="preserve"> which is in line with terrestrial soil microbiomes.</w:t>
      </w:r>
    </w:p>
    <w:p w14:paraId="5C512883" w14:textId="0A26FC83" w:rsidR="004E70A7" w:rsidRDefault="004E70A7" w:rsidP="004E70A7">
      <w:pPr>
        <w:spacing w:line="480" w:lineRule="auto"/>
        <w:ind w:firstLine="720"/>
        <w:jc w:val="both"/>
      </w:pPr>
      <w:r>
        <w:t>Another detection of interest, in an ecological sense, was Geobacter (61 reads). Geobacter species are iron-reducing, anaerobic bacteria, which are common in underground soils and sediments, where they integrate the oxidation of organic matter with the reduction of ferric iron. They can be interpreted as the indicators of anaerobic micro-sites within the soil sample, which are typical of compacted or water-logged soil</w:t>
      </w:r>
      <w:r>
        <w:t>,</w:t>
      </w:r>
      <w:r>
        <w:t xml:space="preserve"> and they are of biotechnological concern due to their bioremediation of metals and radionuclides (Thompson et al., 2020).</w:t>
      </w:r>
    </w:p>
    <w:p w14:paraId="6EFDB3A7" w14:textId="6969A2FF" w:rsidR="004E70A7" w:rsidRDefault="004E70A7" w:rsidP="004E70A7">
      <w:pPr>
        <w:spacing w:line="480" w:lineRule="auto"/>
        <w:ind w:firstLine="720"/>
        <w:jc w:val="both"/>
      </w:pPr>
      <w:r>
        <w:t xml:space="preserve">Of practical importance is the identification of Xanthomonas species - especially X. hyacinthi and X. melonis. Xanthomonas Members of the genus Xanthomonas are some of the most economically significant bacterial plant pathogens that provoke blights, spots, and cankers in a vast range of crop plants all over the world (Triplett et al., 2021). Although their read counts were quite small in this dataset (35 total reads of the genus), the presence of various Xanthomonas species in environmental soil demonstrates that they </w:t>
      </w:r>
      <w:r>
        <w:t>can</w:t>
      </w:r>
      <w:r>
        <w:t xml:space="preserve"> survive in the absence of host plant tissue, which is also consistent with the known survival strategies such as biofilm formation, epiphytic colonization, and association with soil organic matter.</w:t>
      </w:r>
    </w:p>
    <w:p w14:paraId="273ADD1E" w14:textId="555D4F2D" w:rsidR="004E70A7" w:rsidRDefault="004E70A7" w:rsidP="004E70A7">
      <w:pPr>
        <w:spacing w:line="480" w:lineRule="auto"/>
        <w:ind w:firstLine="720"/>
        <w:jc w:val="both"/>
      </w:pPr>
      <w:r>
        <w:t xml:space="preserve">Sphingomonas species (46 reads) identified in barcodes 8 and 9 are </w:t>
      </w:r>
      <w:r>
        <w:t>gram-negative</w:t>
      </w:r>
      <w:r>
        <w:t>, aerobic, species within the Alphaproteobacteria recognized to have a metabolically versatile lifestyle, specifically in the degradation of recalcitrant organic substrates such as polycyclic aromatic hydrocarbons, lignin</w:t>
      </w:r>
      <w:r>
        <w:t>,</w:t>
      </w:r>
      <w:r>
        <w:t xml:space="preserve"> and other xenobiotics (Lagier et al., 2021). Their occurrence in the soil sample can be an indication of exposure to organic pollutants or the natural cyclic nature of complex aromatic compounds </w:t>
      </w:r>
      <w:r>
        <w:t>formed</w:t>
      </w:r>
      <w:r>
        <w:t xml:space="preserve"> by plant litter.</w:t>
      </w:r>
    </w:p>
    <w:p w14:paraId="184192AE" w14:textId="73FE712C" w:rsidR="004E70A7" w:rsidRDefault="004E70A7" w:rsidP="004E70A7">
      <w:pPr>
        <w:spacing w:line="480" w:lineRule="auto"/>
        <w:ind w:firstLine="720"/>
        <w:jc w:val="both"/>
      </w:pPr>
      <w:r>
        <w:t xml:space="preserve">Both at the whole-run level (13,688 reads) and barcode 8 and 9 (555 reads), cyanobacteria were found. </w:t>
      </w:r>
      <w:r>
        <w:t>Although</w:t>
      </w:r>
      <w:r>
        <w:t xml:space="preserve"> cyanobacteria are mostly related to aquatic environments, several species can form biological soil crusts in terrestrial environments, where they act as nitrogen fixers, soil stabilizers</w:t>
      </w:r>
      <w:r>
        <w:t>,</w:t>
      </w:r>
      <w:r>
        <w:t xml:space="preserve"> and water retentives. It is not surprising that they can be found in soil samples. On the same note, the observation of Planctomycetes (245 reads in barcodes 8 and 9) can be explained as an ecologically logical observation since representatives of this phylum have a widespread distribution in soil and sediment and are known to carry out anaerobic oxidation of ammonia (anammox), a critical nitrogen cycling process (Quince et al., 2017).</w:t>
      </w:r>
    </w:p>
    <w:p w14:paraId="26A4DB54" w14:textId="54BF828B" w:rsidR="004E70A7" w:rsidRDefault="004E70A7" w:rsidP="004E70A7">
      <w:pPr>
        <w:spacing w:line="480" w:lineRule="auto"/>
        <w:ind w:firstLine="720"/>
        <w:jc w:val="both"/>
      </w:pPr>
      <w:r>
        <w:t>Other genera that were more predominant and identified were Mucilaginibacter (86 reads) and Massilia (58 reads). Mucilaginibacter species are polysaccharide-producing Bacteroidetes often isolated on the rhizosphere of plants</w:t>
      </w:r>
      <w:r>
        <w:t>,</w:t>
      </w:r>
      <w:r>
        <w:t xml:space="preserve"> and Massilia species are aerobic Betaproteobacteria often found on rhizosphere microbiomes and demonstrated to mediate plant growth under drought and stress conditions. A combination of the community structure observed in barcodes 8 and 9 portrays a heterogeneous, ecologically active community of microorganisms in the soil that </w:t>
      </w:r>
      <w:r>
        <w:t>exhibits</w:t>
      </w:r>
      <w:r>
        <w:t xml:space="preserve"> characteristics of nitrogen cycling, carbon degradation, plant symbiosis, and possible bioremediation processes.</w:t>
      </w:r>
    </w:p>
    <w:p w14:paraId="29AD138A" w14:textId="77777777" w:rsidR="004E70A7" w:rsidRPr="004E70A7" w:rsidRDefault="004E70A7" w:rsidP="004E70A7">
      <w:pPr>
        <w:spacing w:line="480" w:lineRule="auto"/>
        <w:jc w:val="center"/>
        <w:rPr>
          <w:b/>
          <w:bCs/>
        </w:rPr>
      </w:pPr>
      <w:r w:rsidRPr="004E70A7">
        <w:rPr>
          <w:b/>
          <w:bCs/>
        </w:rPr>
        <w:t>Conclusion</w:t>
      </w:r>
    </w:p>
    <w:p w14:paraId="6FD34BD4" w14:textId="7A2CCD7F" w:rsidR="004E70A7" w:rsidRDefault="004E70A7" w:rsidP="004E70A7">
      <w:pPr>
        <w:spacing w:line="480" w:lineRule="auto"/>
        <w:ind w:firstLine="720"/>
        <w:jc w:val="both"/>
      </w:pPr>
      <w:r>
        <w:t xml:space="preserve">Metagenomic characterization of the composition of the environmental soil sample by the application of MinION nanopore 16S rRNA sequencing was effective </w:t>
      </w:r>
      <w:r>
        <w:t>in characterizing</w:t>
      </w:r>
      <w:r>
        <w:t xml:space="preserve"> the composition of a community of bacteria at both phylum and genus levels. Firmicutes was the most prevalent phylum in all barcoded sections</w:t>
      </w:r>
      <w:r>
        <w:t>,</w:t>
      </w:r>
      <w:r>
        <w:t xml:space="preserve"> and Proteobacteria dominated in barcodes 8 and 9. The sequencing results supported the hypothesis that Proteobacteria and Firmicutes would be among the most dominant phyla (although the relative dominance also differed with the location of samples).</w:t>
      </w:r>
    </w:p>
    <w:p w14:paraId="1810F4C9" w14:textId="28368B8C" w:rsidR="004E70A7" w:rsidRDefault="004E70A7" w:rsidP="004E70A7">
      <w:pPr>
        <w:spacing w:line="480" w:lineRule="auto"/>
        <w:ind w:firstLine="720"/>
        <w:jc w:val="both"/>
      </w:pPr>
      <w:r>
        <w:t>The genus-level barcode data of barcodes 8 and 9 indicated a rich community of ecologically significant bacteria such as Ferruginibacter, Bradyrhizobium, Caballeronia, Geobacter, Sphingomonas</w:t>
      </w:r>
      <w:r>
        <w:t>,</w:t>
      </w:r>
      <w:r>
        <w:t xml:space="preserve"> and Xanthomonas</w:t>
      </w:r>
      <w:r>
        <w:t>,</w:t>
      </w:r>
      <w:r>
        <w:t xml:space="preserve"> with each of them representing different functional roles in the soil nutrient cycling, plant symbiosis, degradation of organic matter</w:t>
      </w:r>
      <w:r>
        <w:t>,</w:t>
      </w:r>
      <w:r>
        <w:t xml:space="preserve"> and pathogen ecology. Barcodes 8 and 9 did not give a gel band, which is attributed to the fact that there was no dedicated lane in which those samples were sequenced at that gel run, and is not a result of poor amplification, as shown by a strong sequencing result of 6,225 classified reads. The most serious technical constraint of the experiment was the impossibility of getting any reliable values of NanoDrop, which could be used to verify the purity of the DNA before PCR quantitatively.</w:t>
      </w:r>
    </w:p>
    <w:p w14:paraId="4135CEBF" w14:textId="38EC2CED" w:rsidR="004E70A7" w:rsidRDefault="004E70A7" w:rsidP="004E70A7">
      <w:pPr>
        <w:spacing w:line="480" w:lineRule="auto"/>
        <w:ind w:firstLine="720"/>
        <w:jc w:val="both"/>
      </w:pPr>
      <w:r>
        <w:t>In spite of all these shortcomings, the DNA extraction, PCR amplification, and MinION sequencing yielded a credible and biologically significant dataset. The polyphasic strategy</w:t>
      </w:r>
      <w:r>
        <w:t>,</w:t>
      </w:r>
      <w:r>
        <w:t xml:space="preserve"> the combination of both molecular and metagenomic strategies</w:t>
      </w:r>
      <w:r>
        <w:t>,</w:t>
      </w:r>
      <w:r>
        <w:t xml:space="preserve"> proved the strength of culture-independent approaches to studying complex microbial communities that would be largely undiscerned using conventional cultivation-based approaches. Replicate NanoDrop or Qubit quantification, standardized loading of all barcoded samples on a gel, </w:t>
      </w:r>
      <w:r>
        <w:t xml:space="preserve">and </w:t>
      </w:r>
      <w:r>
        <w:t>more marker genes than the 16S rRNA gene should be considered in future research to enhance the taxonomic confidence and resolution at the species level.</w:t>
      </w:r>
    </w:p>
    <w:p w14:paraId="2D6AB216" w14:textId="77777777" w:rsidR="00844141" w:rsidRDefault="00844141">
      <w:pPr>
        <w:spacing w:before="240" w:after="120" w:line="480" w:lineRule="auto"/>
        <w:jc w:val="center"/>
        <w:rPr>
          <w:b/>
          <w:bCs/>
          <w:u w:val="single"/>
        </w:rPr>
      </w:pPr>
    </w:p>
    <w:p w14:paraId="31613888" w14:textId="77777777" w:rsidR="004E70A7" w:rsidRDefault="004E70A7">
      <w:pPr>
        <w:spacing w:before="240" w:after="120" w:line="480" w:lineRule="auto"/>
        <w:jc w:val="center"/>
        <w:rPr>
          <w:b/>
          <w:bCs/>
          <w:u w:val="single"/>
        </w:rPr>
      </w:pPr>
    </w:p>
    <w:p w14:paraId="358F8C7A" w14:textId="77777777" w:rsidR="004E70A7" w:rsidRDefault="004E70A7">
      <w:pPr>
        <w:spacing w:before="240" w:after="120" w:line="480" w:lineRule="auto"/>
        <w:jc w:val="center"/>
        <w:rPr>
          <w:b/>
          <w:bCs/>
          <w:u w:val="single"/>
        </w:rPr>
      </w:pPr>
    </w:p>
    <w:p w14:paraId="1073BD16" w14:textId="77777777" w:rsidR="004E70A7" w:rsidRDefault="004E70A7">
      <w:pPr>
        <w:spacing w:before="240" w:after="120" w:line="480" w:lineRule="auto"/>
        <w:jc w:val="center"/>
        <w:rPr>
          <w:b/>
          <w:bCs/>
          <w:u w:val="single"/>
        </w:rPr>
      </w:pPr>
    </w:p>
    <w:p w14:paraId="0CD2A871" w14:textId="77777777" w:rsidR="00844141" w:rsidRDefault="00844141">
      <w:pPr>
        <w:spacing w:before="240" w:after="120" w:line="480" w:lineRule="auto"/>
        <w:jc w:val="center"/>
        <w:rPr>
          <w:b/>
          <w:bCs/>
          <w:u w:val="single"/>
        </w:rPr>
      </w:pPr>
    </w:p>
    <w:p w14:paraId="7AD3F0D0" w14:textId="77777777" w:rsidR="004E70A7" w:rsidRDefault="004E70A7">
      <w:pPr>
        <w:spacing w:before="240" w:after="120" w:line="480" w:lineRule="auto"/>
        <w:jc w:val="center"/>
        <w:rPr>
          <w:b/>
          <w:bCs/>
          <w:u w:val="single"/>
        </w:rPr>
      </w:pPr>
    </w:p>
    <w:p w14:paraId="0021264F" w14:textId="713EAF29" w:rsidR="00ED2C27" w:rsidRDefault="00000000">
      <w:pPr>
        <w:spacing w:before="240" w:after="120" w:line="480" w:lineRule="auto"/>
        <w:jc w:val="center"/>
      </w:pPr>
      <w:r>
        <w:rPr>
          <w:b/>
          <w:bCs/>
          <w:u w:val="single"/>
        </w:rPr>
        <w:t>References</w:t>
      </w:r>
    </w:p>
    <w:p w14:paraId="12C748D1" w14:textId="78A60F60" w:rsidR="00ED2C27" w:rsidRDefault="00000000">
      <w:pPr>
        <w:spacing w:line="480" w:lineRule="auto"/>
        <w:ind w:left="720" w:hanging="720"/>
      </w:pPr>
      <w:r>
        <w:t xml:space="preserve">Amadou, C., Pascal, G., Mangenot, S., Glew, M., Bontemps, C., Capela, D., Carrere, S., Cruveiller, S., Dossat, C., Lajus, A., Marchetti, M., Poinsot, V., Rouy, Z., de la Vega, A. L., Vallenet, D., Medigue, C., Masson-Boivin, C., Perret, X., Moulin, L., &amp; Ratet, P. (2020). Genome sequence of the beta-rhizobium Cupriavidus taiwanensis and comparative genomics of rhizobia. Genome Research, 18(9), 1472–1483. </w:t>
      </w:r>
      <w:hyperlink r:id="rId5" w:history="1">
        <w:r w:rsidR="00844141" w:rsidRPr="00FB1E60">
          <w:rPr>
            <w:rStyle w:val="Hyperlink"/>
          </w:rPr>
          <w:t>https://doi.org/10.1101/gr.076448.108</w:t>
        </w:r>
      </w:hyperlink>
    </w:p>
    <w:p w14:paraId="1CA243FD" w14:textId="264D24F5" w:rsidR="00ED2C27" w:rsidRDefault="00000000">
      <w:pPr>
        <w:spacing w:line="480" w:lineRule="auto"/>
        <w:ind w:left="720" w:hanging="720"/>
      </w:pPr>
      <w:r>
        <w:t xml:space="preserve">Guo, J., Peng, Y., Ni, B. J., Han, X., Fan, L., &amp; Yuan, Z. (2020). Dissecting microbial community structure and methane-producing pathways of a full-scale anaerobic reactor digesting activated sludge from wastewater treatment by metagenomic sequencing. Microbial Cell Factories, 14(1), 33. </w:t>
      </w:r>
      <w:hyperlink r:id="rId6" w:history="1">
        <w:r w:rsidR="00844141" w:rsidRPr="00FB1E60">
          <w:rPr>
            <w:rStyle w:val="Hyperlink"/>
          </w:rPr>
          <w:t>https://doi.org/10.1186/s12934-015-0218-4</w:t>
        </w:r>
      </w:hyperlink>
    </w:p>
    <w:p w14:paraId="481ED750" w14:textId="53216232" w:rsidR="00ED2C27" w:rsidRDefault="00000000">
      <w:pPr>
        <w:spacing w:line="480" w:lineRule="auto"/>
        <w:ind w:left="720" w:hanging="720"/>
      </w:pPr>
      <w:r>
        <w:t xml:space="preserve">Jansson, J. K., &amp; Hofmockel, K. S. (2020). Soil microbiomes and climate change. Nature Reviews Microbiology, 18(1), 35–46. </w:t>
      </w:r>
      <w:hyperlink r:id="rId7" w:history="1">
        <w:r w:rsidR="00844141" w:rsidRPr="00FB1E60">
          <w:rPr>
            <w:rStyle w:val="Hyperlink"/>
          </w:rPr>
          <w:t>https://doi.org/10.1038/s41579-019-0265-7</w:t>
        </w:r>
      </w:hyperlink>
    </w:p>
    <w:p w14:paraId="6E8B07E7" w14:textId="595203A2" w:rsidR="00ED2C27" w:rsidRDefault="00000000">
      <w:pPr>
        <w:spacing w:line="480" w:lineRule="auto"/>
        <w:ind w:left="720" w:hanging="720"/>
      </w:pPr>
      <w:r>
        <w:t>Lagier, J. C., Dubourg, G., Million, M., Cadoret, F., Bilen, M., Fenollar, F., Levasseur, A., Rolain, J. M., Fournier, P. E., &amp; Raoult, D. (20</w:t>
      </w:r>
      <w:r w:rsidR="00EB5599">
        <w:t>18</w:t>
      </w:r>
      <w:r>
        <w:t xml:space="preserve">). Culturing the human microbiota and culturomics. Nature Reviews Microbiology, 16(9), 540–550. </w:t>
      </w:r>
      <w:hyperlink r:id="rId8" w:history="1">
        <w:r w:rsidR="00EB5599" w:rsidRPr="00FB1E60">
          <w:rPr>
            <w:rStyle w:val="Hyperlink"/>
          </w:rPr>
          <w:t>https://doi.org/10.1038/s41579-</w:t>
        </w:r>
        <w:r w:rsidR="00EB5599" w:rsidRPr="00FB1E60">
          <w:rPr>
            <w:rStyle w:val="Hyperlink"/>
          </w:rPr>
          <w:t>018-0041-0</w:t>
        </w:r>
      </w:hyperlink>
    </w:p>
    <w:p w14:paraId="505B435A" w14:textId="6E76C609" w:rsidR="00ED2C27" w:rsidRDefault="00000000">
      <w:pPr>
        <w:spacing w:line="480" w:lineRule="auto"/>
        <w:ind w:left="720" w:hanging="720"/>
      </w:pPr>
      <w:r>
        <w:t xml:space="preserve">Thompson, L. R., Sanders, J. G., McDonald, D., Amir, A., Ladau, J., Locey, K. J., Prill, R. J., Triplett, E. W., Gibbons, S. M., Ackermann, G., Navas-Molina, J. A., Janssen, S., Kopylova, E., Vasquez-Baeza, Y., Gonzalez, A., Morton, J. T., Mirarab, S., Zech Xu, Z., Jiang, L., … Knight, R. (2020). A communal catalogue reveals Earth's multiscale microbial diversity. Nature, 551(7681), 457–463. </w:t>
      </w:r>
      <w:hyperlink r:id="rId9" w:history="1">
        <w:r w:rsidR="00844141" w:rsidRPr="00FB1E60">
          <w:rPr>
            <w:rStyle w:val="Hyperlink"/>
          </w:rPr>
          <w:t>https://doi.org/10.1038/nature24621</w:t>
        </w:r>
      </w:hyperlink>
    </w:p>
    <w:p w14:paraId="553B6869" w14:textId="39DB56FB" w:rsidR="00ED2C27" w:rsidRDefault="00000000">
      <w:pPr>
        <w:spacing w:line="480" w:lineRule="auto"/>
        <w:ind w:left="720" w:hanging="720"/>
      </w:pPr>
      <w:r>
        <w:t xml:space="preserve">Triplett, L. R., Bhosale, S., Dhulipala, M. R., Hall, D., Rezaei, E., Bhattarai, K., Ma, W., &amp; Leach, J. E. (2021). Xanthomonas biology and pathogenesis: A model for the study of plant–pathogen interactions. Annual Review of Phytopathology, 59, 469–492. </w:t>
      </w:r>
      <w:hyperlink r:id="rId10" w:history="1">
        <w:r w:rsidR="00844141" w:rsidRPr="00FB1E60">
          <w:rPr>
            <w:rStyle w:val="Hyperlink"/>
          </w:rPr>
          <w:t>https://doi.org/10.1146/annurev-phyto-020620-114053</w:t>
        </w:r>
      </w:hyperlink>
    </w:p>
    <w:sectPr w:rsidR="00ED2C2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4A1E"/>
    <w:multiLevelType w:val="hybridMultilevel"/>
    <w:tmpl w:val="54EC6C1E"/>
    <w:lvl w:ilvl="0" w:tplc="373EB4CA">
      <w:start w:val="1"/>
      <w:numFmt w:val="bullet"/>
      <w:lvlText w:val="●"/>
      <w:lvlJc w:val="left"/>
      <w:pPr>
        <w:ind w:left="720" w:hanging="360"/>
      </w:pPr>
    </w:lvl>
    <w:lvl w:ilvl="1" w:tplc="41862520">
      <w:start w:val="1"/>
      <w:numFmt w:val="bullet"/>
      <w:lvlText w:val="○"/>
      <w:lvlJc w:val="left"/>
      <w:pPr>
        <w:ind w:left="1440" w:hanging="360"/>
      </w:pPr>
    </w:lvl>
    <w:lvl w:ilvl="2" w:tplc="B35E97CA">
      <w:start w:val="1"/>
      <w:numFmt w:val="bullet"/>
      <w:lvlText w:val="■"/>
      <w:lvlJc w:val="left"/>
      <w:pPr>
        <w:ind w:left="2160" w:hanging="360"/>
      </w:pPr>
    </w:lvl>
    <w:lvl w:ilvl="3" w:tplc="A7DA0900">
      <w:start w:val="1"/>
      <w:numFmt w:val="bullet"/>
      <w:lvlText w:val="●"/>
      <w:lvlJc w:val="left"/>
      <w:pPr>
        <w:ind w:left="2880" w:hanging="360"/>
      </w:pPr>
    </w:lvl>
    <w:lvl w:ilvl="4" w:tplc="89C8291A">
      <w:start w:val="1"/>
      <w:numFmt w:val="bullet"/>
      <w:lvlText w:val="○"/>
      <w:lvlJc w:val="left"/>
      <w:pPr>
        <w:ind w:left="3600" w:hanging="360"/>
      </w:pPr>
    </w:lvl>
    <w:lvl w:ilvl="5" w:tplc="31D8A736">
      <w:start w:val="1"/>
      <w:numFmt w:val="bullet"/>
      <w:lvlText w:val="■"/>
      <w:lvlJc w:val="left"/>
      <w:pPr>
        <w:ind w:left="4320" w:hanging="360"/>
      </w:pPr>
    </w:lvl>
    <w:lvl w:ilvl="6" w:tplc="503C606C">
      <w:start w:val="1"/>
      <w:numFmt w:val="bullet"/>
      <w:lvlText w:val="●"/>
      <w:lvlJc w:val="left"/>
      <w:pPr>
        <w:ind w:left="5040" w:hanging="360"/>
      </w:pPr>
    </w:lvl>
    <w:lvl w:ilvl="7" w:tplc="A4F8359A">
      <w:start w:val="1"/>
      <w:numFmt w:val="bullet"/>
      <w:lvlText w:val="●"/>
      <w:lvlJc w:val="left"/>
      <w:pPr>
        <w:ind w:left="5760" w:hanging="360"/>
      </w:pPr>
    </w:lvl>
    <w:lvl w:ilvl="8" w:tplc="CCDA3E7C">
      <w:start w:val="1"/>
      <w:numFmt w:val="bullet"/>
      <w:lvlText w:val="●"/>
      <w:lvlJc w:val="left"/>
      <w:pPr>
        <w:ind w:left="6480" w:hanging="360"/>
      </w:pPr>
    </w:lvl>
  </w:abstractNum>
  <w:num w:numId="1" w16cid:durableId="525561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C27"/>
    <w:rsid w:val="004E70A7"/>
    <w:rsid w:val="00844141"/>
    <w:rsid w:val="00D73508"/>
    <w:rsid w:val="00EB5599"/>
    <w:rsid w:val="00ED2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FF15"/>
  <w15:docId w15:val="{CA5B789C-11B4-4CEA-85A5-CE3629F3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sz w:val="28"/>
      <w:szCs w:val="28"/>
    </w:rPr>
  </w:style>
  <w:style w:type="paragraph" w:styleId="Heading2">
    <w:name w:val="heading 2"/>
    <w:uiPriority w:val="9"/>
    <w:semiHidden/>
    <w:unhideWhenUsed/>
    <w:qFormat/>
    <w:pPr>
      <w:spacing w:before="120" w:after="60"/>
      <w:outlineLvl w:val="1"/>
    </w:pPr>
    <w:rPr>
      <w:b/>
      <w:b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EB5599"/>
    <w:rPr>
      <w:color w:val="605E5C"/>
      <w:shd w:val="clear" w:color="auto" w:fill="E1DFDD"/>
    </w:rPr>
  </w:style>
  <w:style w:type="character" w:styleId="FollowedHyperlink">
    <w:name w:val="FollowedHyperlink"/>
    <w:basedOn w:val="DefaultParagraphFont"/>
    <w:uiPriority w:val="99"/>
    <w:semiHidden/>
    <w:unhideWhenUsed/>
    <w:rsid w:val="00EB55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38/s41579-018-0041-0" TargetMode="External"/><Relationship Id="rId3" Type="http://schemas.openxmlformats.org/officeDocument/2006/relationships/settings" Target="settings.xml"/><Relationship Id="rId7" Type="http://schemas.openxmlformats.org/officeDocument/2006/relationships/hyperlink" Target="https://doi.org/10.1038/s41579-019-0265-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2934-015-0218-4" TargetMode="External"/><Relationship Id="rId11" Type="http://schemas.openxmlformats.org/officeDocument/2006/relationships/fontTable" Target="fontTable.xml"/><Relationship Id="rId5" Type="http://schemas.openxmlformats.org/officeDocument/2006/relationships/hyperlink" Target="https://doi.org/10.1101/gr.076448.108" TargetMode="External"/><Relationship Id="rId10" Type="http://schemas.openxmlformats.org/officeDocument/2006/relationships/hyperlink" Target="https://doi.org/10.1146/annurev-phyto-020620-114053" TargetMode="External"/><Relationship Id="rId4" Type="http://schemas.openxmlformats.org/officeDocument/2006/relationships/webSettings" Target="webSettings.xml"/><Relationship Id="rId9" Type="http://schemas.openxmlformats.org/officeDocument/2006/relationships/hyperlink" Target="https://doi.org/10.1038/nature24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14</Pages>
  <Words>3612</Words>
  <Characters>20591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3</cp:revision>
  <dcterms:created xsi:type="dcterms:W3CDTF">2026-03-28T11:53:00Z</dcterms:created>
  <dcterms:modified xsi:type="dcterms:W3CDTF">2026-03-28T12:06:00Z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9d130322-b29d-4e8c-aa9c-00ffe5f97d82</vt:lpwstr>
  </property>
</Properties>
</file>