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BBAA9" w14:textId="77777777" w:rsidR="004214FC" w:rsidRPr="004214FC" w:rsidRDefault="004214FC" w:rsidP="004214FC">
      <w:pPr>
        <w:pStyle w:val="NoSpacing"/>
        <w:contextualSpacing/>
        <w:rPr>
          <w:rFonts w:ascii="Times New Roman" w:hAnsi="Times New Roman" w:cs="Times New Roman"/>
        </w:rPr>
      </w:pPr>
      <w:r w:rsidRPr="004214FC">
        <w:rPr>
          <w:rFonts w:ascii="Times New Roman" w:hAnsi="Times New Roman" w:cs="Times New Roman"/>
        </w:rPr>
        <w:t>Name</w:t>
      </w:r>
    </w:p>
    <w:p w14:paraId="2074C647" w14:textId="77777777" w:rsidR="004214FC" w:rsidRPr="004214FC" w:rsidRDefault="004214FC" w:rsidP="004214FC">
      <w:pPr>
        <w:pStyle w:val="NoSpacing"/>
        <w:contextualSpacing/>
        <w:rPr>
          <w:rFonts w:ascii="Times New Roman" w:hAnsi="Times New Roman" w:cs="Times New Roman"/>
        </w:rPr>
      </w:pPr>
      <w:r w:rsidRPr="004214FC">
        <w:rPr>
          <w:rFonts w:ascii="Times New Roman" w:hAnsi="Times New Roman" w:cs="Times New Roman"/>
        </w:rPr>
        <w:t>Professor Name</w:t>
      </w:r>
    </w:p>
    <w:p w14:paraId="3AE76650" w14:textId="31013D85" w:rsidR="004214FC" w:rsidRPr="004214FC" w:rsidRDefault="005736DA" w:rsidP="004214FC">
      <w:pPr>
        <w:pStyle w:val="NoSpacing"/>
        <w:contextualSpacing/>
        <w:rPr>
          <w:rFonts w:ascii="Times New Roman" w:hAnsi="Times New Roman" w:cs="Times New Roman"/>
        </w:rPr>
      </w:pPr>
      <w:r>
        <w:rPr>
          <w:rFonts w:ascii="Times New Roman" w:hAnsi="Times New Roman" w:cs="Times New Roman"/>
        </w:rPr>
        <w:t>Course Code</w:t>
      </w:r>
    </w:p>
    <w:p w14:paraId="212BF9AD" w14:textId="692B745B" w:rsidR="00CD5942" w:rsidRDefault="00574E88" w:rsidP="00CD5942">
      <w:pPr>
        <w:pStyle w:val="NoSpacing"/>
        <w:contextualSpacing/>
        <w:rPr>
          <w:rFonts w:ascii="Times New Roman" w:hAnsi="Times New Roman" w:cs="Times New Roman"/>
        </w:rPr>
      </w:pPr>
      <w:r>
        <w:rPr>
          <w:rFonts w:ascii="Times New Roman" w:hAnsi="Times New Roman" w:cs="Times New Roman"/>
        </w:rPr>
        <w:t>Ma</w:t>
      </w:r>
      <w:r w:rsidR="00BC67D0">
        <w:rPr>
          <w:rFonts w:ascii="Times New Roman" w:hAnsi="Times New Roman" w:cs="Times New Roman"/>
        </w:rPr>
        <w:t>y</w:t>
      </w:r>
      <w:r w:rsidR="004214FC" w:rsidRPr="004214FC">
        <w:rPr>
          <w:rFonts w:ascii="Times New Roman" w:hAnsi="Times New Roman" w:cs="Times New Roman"/>
        </w:rPr>
        <w:t xml:space="preserve"> </w:t>
      </w:r>
      <w:r w:rsidR="00BC67D0">
        <w:rPr>
          <w:rFonts w:ascii="Times New Roman" w:hAnsi="Times New Roman" w:cs="Times New Roman"/>
        </w:rPr>
        <w:t>3</w:t>
      </w:r>
      <w:r w:rsidR="004214FC" w:rsidRPr="004214FC">
        <w:rPr>
          <w:rFonts w:ascii="Times New Roman" w:hAnsi="Times New Roman" w:cs="Times New Roman"/>
        </w:rPr>
        <w:t>, 2026</w:t>
      </w:r>
    </w:p>
    <w:p w14:paraId="53B58A49" w14:textId="07D2A181" w:rsidR="004E5046" w:rsidRPr="004E5046" w:rsidRDefault="004E5046" w:rsidP="004E5046">
      <w:pPr>
        <w:spacing w:after="0" w:line="480" w:lineRule="auto"/>
        <w:ind w:firstLine="720"/>
        <w:jc w:val="center"/>
        <w:rPr>
          <w:rFonts w:eastAsia="Times New Roman"/>
          <w:lang w:eastAsia=""/>
        </w:rPr>
      </w:pPr>
      <w:r w:rsidRPr="004E5046">
        <w:rPr>
          <w:rFonts w:eastAsia="Times New Roman"/>
          <w:lang w:eastAsia=""/>
        </w:rPr>
        <w:t>Divine Covenant: A Interpretation of the Kebra Nagast</w:t>
      </w:r>
    </w:p>
    <w:p w14:paraId="7686E8AF" w14:textId="77777777" w:rsidR="004E5046" w:rsidRPr="004E5046" w:rsidRDefault="004E5046" w:rsidP="004E5046">
      <w:pPr>
        <w:spacing w:after="0" w:line="480" w:lineRule="auto"/>
        <w:ind w:firstLine="720"/>
        <w:rPr>
          <w:rFonts w:eastAsia="Times New Roman"/>
          <w:lang w:eastAsia=""/>
        </w:rPr>
      </w:pPr>
      <w:r w:rsidRPr="004E5046">
        <w:rPr>
          <w:rFonts w:eastAsia="Times New Roman"/>
          <w:lang w:eastAsia=""/>
        </w:rPr>
        <w:t>The Kebra Nagast or The Glory of the Kings is the epic of Ethiopian national and religious identity. It is not just a compilation of legends but it also serves as a constitutional and sacred text upon which the legitimacy of the Solomonic dynasty is anchored. The myth makes Ethiopia a New Zion instead of a geographic location by tracing the lineage of Ethiopian kings and queens back to the marriage between King Solomon and the Queen of Sheba. A functionalist perspective would reveal how the archetypes of the Wise King and the Seeking Queen would create a paradigm of divine kingship, moral governance, and a special national covenant that has been able to keep the Ethiopian culture alive over the centuries.</w:t>
      </w:r>
    </w:p>
    <w:p w14:paraId="0B6DC88B" w14:textId="77777777" w:rsidR="004E5046" w:rsidRPr="00954D86" w:rsidRDefault="004E5046" w:rsidP="00954D86">
      <w:pPr>
        <w:spacing w:after="0" w:line="480" w:lineRule="auto"/>
        <w:rPr>
          <w:rFonts w:eastAsia="Times New Roman"/>
          <w:b/>
          <w:bCs/>
          <w:lang w:eastAsia=""/>
        </w:rPr>
      </w:pPr>
      <w:r w:rsidRPr="00954D86">
        <w:rPr>
          <w:rFonts w:eastAsia="Times New Roman"/>
          <w:b/>
          <w:bCs/>
          <w:lang w:eastAsia=""/>
        </w:rPr>
        <w:t>Summary of the Myth</w:t>
      </w:r>
    </w:p>
    <w:p w14:paraId="30917A9E" w14:textId="47877D66" w:rsidR="004E5046" w:rsidRPr="004E5046" w:rsidRDefault="004E5046" w:rsidP="00954D86">
      <w:pPr>
        <w:spacing w:after="0" w:line="480" w:lineRule="auto"/>
        <w:ind w:firstLine="720"/>
        <w:rPr>
          <w:rFonts w:eastAsia="Times New Roman"/>
          <w:lang w:eastAsia=""/>
        </w:rPr>
      </w:pPr>
      <w:r w:rsidRPr="004E5046">
        <w:rPr>
          <w:rFonts w:eastAsia="Times New Roman"/>
          <w:lang w:eastAsia=""/>
        </w:rPr>
        <w:t>The main story of the Kebra Nagast is the account of the journey of Queen Makeda, the ruler of Ethiopia, who goes to Jerusalem after hearing about the unparalleled wisdom of King Solomon. Makeda is greatly impressed by the intelligence of Solomon and his dedication to God of Israel. Prior to her departure, Solomon employs an ingenious trick of a spicy meal to make sure Makeda violates an oath which makes them physically joined. Makeda goes back to Ethiopia and gives birth to a son, Menelik I.</w:t>
      </w:r>
    </w:p>
    <w:p w14:paraId="5819D7F6" w14:textId="77777777" w:rsidR="004E5046" w:rsidRPr="004E5046" w:rsidRDefault="004E5046" w:rsidP="004E5046">
      <w:pPr>
        <w:spacing w:after="0" w:line="480" w:lineRule="auto"/>
        <w:ind w:firstLine="720"/>
        <w:rPr>
          <w:rFonts w:eastAsia="Times New Roman"/>
          <w:lang w:eastAsia=""/>
        </w:rPr>
      </w:pPr>
      <w:r w:rsidRPr="004E5046">
        <w:rPr>
          <w:rFonts w:eastAsia="Times New Roman"/>
          <w:lang w:eastAsia=""/>
        </w:rPr>
        <w:t xml:space="preserve">Menelik, as a young man, goes to Jerusalem to see his father. Solomon accepts him and gives him the throne of Israel, but Menelik decides to go back to the kingdom of his mother. When he goes, the oldest sons of the nobles of Solomon accompany him, secretly carrying the Ark of the Covenant with them, thinking that it is the will of God that the Ark be in Ethiopia. The myth ends with the institution of Solomonic line in Ethiopia, which asserts </w:t>
      </w:r>
      <w:r w:rsidRPr="004E5046">
        <w:rPr>
          <w:rFonts w:eastAsia="Times New Roman"/>
          <w:lang w:eastAsia=""/>
        </w:rPr>
        <w:lastRenderedPageBreak/>
        <w:t>that the divine presence and the right to rule has been transferred to the Ethiopian people (Budge 38-42).</w:t>
      </w:r>
    </w:p>
    <w:p w14:paraId="0A581EA1" w14:textId="77777777" w:rsidR="004E5046" w:rsidRPr="00954D86" w:rsidRDefault="004E5046" w:rsidP="00954D86">
      <w:pPr>
        <w:spacing w:after="0" w:line="480" w:lineRule="auto"/>
        <w:rPr>
          <w:rFonts w:eastAsia="Times New Roman"/>
          <w:b/>
          <w:bCs/>
          <w:lang w:eastAsia=""/>
        </w:rPr>
      </w:pPr>
      <w:r w:rsidRPr="00954D86">
        <w:rPr>
          <w:rFonts w:eastAsia="Times New Roman"/>
          <w:b/>
          <w:bCs/>
          <w:lang w:eastAsia=""/>
        </w:rPr>
        <w:t>Cultural Context</w:t>
      </w:r>
    </w:p>
    <w:p w14:paraId="0147E73B" w14:textId="33E2853A" w:rsidR="004E5046" w:rsidRPr="004E5046" w:rsidRDefault="004E5046" w:rsidP="00954D86">
      <w:pPr>
        <w:spacing w:after="0" w:line="480" w:lineRule="auto"/>
        <w:ind w:firstLine="720"/>
        <w:rPr>
          <w:rFonts w:eastAsia="Times New Roman"/>
          <w:lang w:eastAsia=""/>
        </w:rPr>
      </w:pPr>
      <w:r w:rsidRPr="004E5046">
        <w:rPr>
          <w:rFonts w:eastAsia="Times New Roman"/>
          <w:lang w:eastAsia=""/>
        </w:rPr>
        <w:t>The Kebra Nagast took its final written form in the 14th century, a time when much political upheaval was occurring in the Horn of Africa. It was the period of the so-called Solomonic Restoration, when the dynasty of Zagwe was overthrown by Yekino Amlak, who attempted to justify his rule by his alleged direct descent to King Solomon. The myth is strongly embedded within the context of the Aksumite Empire that had turned into Christianity in the 4 th century.</w:t>
      </w:r>
    </w:p>
    <w:p w14:paraId="3E7E6D38" w14:textId="77777777" w:rsidR="004E5046" w:rsidRPr="004E5046" w:rsidRDefault="004E5046" w:rsidP="004E5046">
      <w:pPr>
        <w:spacing w:after="0" w:line="480" w:lineRule="auto"/>
        <w:ind w:firstLine="720"/>
        <w:rPr>
          <w:rFonts w:eastAsia="Times New Roman"/>
          <w:lang w:eastAsia=""/>
        </w:rPr>
      </w:pPr>
      <w:r w:rsidRPr="004E5046">
        <w:rPr>
          <w:rFonts w:eastAsia="Times New Roman"/>
          <w:lang w:eastAsia=""/>
        </w:rPr>
        <w:t>With its geographical location, Ethiopia being a Christian highland with a variety of religious influences forced the country to have a strong, unifying narrative. The historical aspects to consider are the necessity of a charter myth that could unite different ethnic groups under one, divinely appointed monarch (Munro-Hay 64). As such, the myth is not merely an origin myth; but rather a political tool that fuses the Judeo-Christian theology with the African sovereign traditions.</w:t>
      </w:r>
    </w:p>
    <w:p w14:paraId="521B35F6" w14:textId="141DCD60" w:rsidR="004E5046" w:rsidRPr="00954D86" w:rsidRDefault="004E5046" w:rsidP="00954D86">
      <w:pPr>
        <w:spacing w:after="0" w:line="480" w:lineRule="auto"/>
        <w:rPr>
          <w:rFonts w:eastAsia="Times New Roman"/>
          <w:b/>
          <w:bCs/>
          <w:lang w:eastAsia=""/>
        </w:rPr>
      </w:pPr>
      <w:r w:rsidRPr="00954D86">
        <w:rPr>
          <w:rFonts w:eastAsia="Times New Roman"/>
          <w:b/>
          <w:bCs/>
          <w:lang w:eastAsia=""/>
        </w:rPr>
        <w:t>Archetypes and Nonmaterial Culture</w:t>
      </w:r>
    </w:p>
    <w:p w14:paraId="78F205D7" w14:textId="77777777" w:rsidR="004E5046" w:rsidRPr="004E5046" w:rsidRDefault="004E5046" w:rsidP="004E5046">
      <w:pPr>
        <w:spacing w:after="0" w:line="480" w:lineRule="auto"/>
        <w:ind w:firstLine="720"/>
        <w:rPr>
          <w:rFonts w:eastAsia="Times New Roman"/>
          <w:lang w:eastAsia=""/>
        </w:rPr>
      </w:pPr>
      <w:r w:rsidRPr="004E5046">
        <w:rPr>
          <w:rFonts w:eastAsia="Times New Roman"/>
          <w:lang w:eastAsia=""/>
        </w:rPr>
        <w:t>The Kebra Nagast is full of archetypes to support Ethiopian nonmaterial culture, especially in the gender roles and social hierarchy. Queen Makeda is an archetype of Hero/Seeker archetype. In contrast to many other ancient mythologies, in which the female characters are passive, Makeda is depicted as an intellectually ambitious ruler, who appreciates wisdom more than gold. This is a part of the Ethiopian cultural value that honors female agency and leadership as reflected in the historical prominence of the Candace (queen mothers).</w:t>
      </w:r>
    </w:p>
    <w:p w14:paraId="77D70363" w14:textId="77777777" w:rsidR="004E5046" w:rsidRPr="004E5046" w:rsidRDefault="004E5046" w:rsidP="004E5046">
      <w:pPr>
        <w:spacing w:after="0" w:line="480" w:lineRule="auto"/>
        <w:ind w:firstLine="720"/>
        <w:rPr>
          <w:rFonts w:eastAsia="Times New Roman"/>
          <w:lang w:eastAsia=""/>
        </w:rPr>
      </w:pPr>
    </w:p>
    <w:p w14:paraId="0EA9D797" w14:textId="77777777" w:rsidR="004E5046" w:rsidRPr="004E5046" w:rsidRDefault="004E5046" w:rsidP="004E5046">
      <w:pPr>
        <w:spacing w:after="0" w:line="480" w:lineRule="auto"/>
        <w:ind w:firstLine="720"/>
        <w:rPr>
          <w:rFonts w:eastAsia="Times New Roman"/>
          <w:lang w:eastAsia=""/>
        </w:rPr>
      </w:pPr>
      <w:r w:rsidRPr="004E5046">
        <w:rPr>
          <w:rFonts w:eastAsia="Times New Roman"/>
          <w:lang w:eastAsia=""/>
        </w:rPr>
        <w:lastRenderedPageBreak/>
        <w:t>King Solomon is an archetype of the Wise King/Mentor. He is to give the seed of the divine wisdom, the legalistic structure of the state. This archetype in Ethiopian culture justifies the idea of the divine kingship where the king is not just a political figure but a divine one appointed by god. The interplay of these two archetypes creates Menelik I, the Divine Heir that is the result of the combination of wisdom and power. These archetypes determine the "norms" of the Solomonic ideology, in which the legitimacy of the ruler is associated with his or her genealogy and his or her adherence to the upholding of the Christian faith (Pankhurst 32).</w:t>
      </w:r>
    </w:p>
    <w:p w14:paraId="08394200" w14:textId="565CA468" w:rsidR="004E5046" w:rsidRPr="00954D86" w:rsidRDefault="004E5046" w:rsidP="00954D86">
      <w:pPr>
        <w:spacing w:after="0" w:line="480" w:lineRule="auto"/>
        <w:rPr>
          <w:rFonts w:eastAsia="Times New Roman"/>
          <w:b/>
          <w:bCs/>
          <w:lang w:eastAsia=""/>
        </w:rPr>
      </w:pPr>
      <w:r w:rsidRPr="00954D86">
        <w:rPr>
          <w:rFonts w:eastAsia="Times New Roman"/>
          <w:b/>
          <w:bCs/>
          <w:lang w:eastAsia=""/>
        </w:rPr>
        <w:t>Meaning Analysis: Functionalist</w:t>
      </w:r>
    </w:p>
    <w:p w14:paraId="48B541BC" w14:textId="3B1BFD07" w:rsidR="004E5046" w:rsidRPr="004E5046" w:rsidRDefault="004E5046" w:rsidP="00954D86">
      <w:pPr>
        <w:spacing w:after="0" w:line="480" w:lineRule="auto"/>
        <w:ind w:firstLine="720"/>
        <w:rPr>
          <w:rFonts w:eastAsia="Times New Roman"/>
          <w:lang w:eastAsia=""/>
        </w:rPr>
      </w:pPr>
      <w:r w:rsidRPr="004E5046">
        <w:rPr>
          <w:rFonts w:eastAsia="Times New Roman"/>
          <w:lang w:eastAsia=""/>
        </w:rPr>
        <w:t>The Kebra Nagast is a primary source of social glue in the Ethiopian society using the functionalist approach by Emile Durkheim. Durkheim posited that myths form a collective conscience, by establishing common sacred truths that bind a community together. In Ethiopian case, the myth about the relocation of the Ark of the Covenant to Aksum is playing a crucial socio-political role: it gives the feeling of being elected by God.</w:t>
      </w:r>
    </w:p>
    <w:p w14:paraId="778337DD" w14:textId="3BC6C7D1" w:rsidR="004E5046" w:rsidRPr="004E5046" w:rsidRDefault="004E5046" w:rsidP="00954D86">
      <w:pPr>
        <w:spacing w:after="0" w:line="480" w:lineRule="auto"/>
        <w:ind w:firstLine="720"/>
        <w:rPr>
          <w:rFonts w:eastAsia="Times New Roman"/>
          <w:lang w:eastAsia=""/>
        </w:rPr>
      </w:pPr>
      <w:r w:rsidRPr="004E5046">
        <w:rPr>
          <w:rFonts w:eastAsia="Times New Roman"/>
          <w:lang w:eastAsia=""/>
        </w:rPr>
        <w:t>The myth has a proto-scientific and moral lesson about the so-called translatio imperii, or the transfer of the rule. It indicates that the favour of God is not fixed but it trails the morally upright. The myth has a certain political and social implication when the Ark is transported to Ethiopia: Ethiopia is the next rightful inheritor of the biblical Covenant. This ideology influenced the Ethiopian legal code, the Fetha Nagast, and ensured that the monarchy continued to be the key support of social stability over almost 700 years (Kaplan 21).</w:t>
      </w:r>
    </w:p>
    <w:p w14:paraId="00031D63" w14:textId="77777777" w:rsidR="004E5046" w:rsidRPr="004E5046" w:rsidRDefault="004E5046" w:rsidP="004E5046">
      <w:pPr>
        <w:spacing w:after="0" w:line="480" w:lineRule="auto"/>
        <w:ind w:firstLine="720"/>
        <w:rPr>
          <w:rFonts w:eastAsia="Times New Roman"/>
          <w:lang w:eastAsia=""/>
        </w:rPr>
      </w:pPr>
      <w:r w:rsidRPr="004E5046">
        <w:rPr>
          <w:rFonts w:eastAsia="Times New Roman"/>
          <w:lang w:eastAsia=""/>
        </w:rPr>
        <w:t xml:space="preserve">Moreover, the myth deals with the economic and social system of that period. It confirms the historical significance of the trade routes and trading activities between Makeda and Solomon as well as the connections of Ethiopia with the rest of the Mediterranean and Red Sea worlds. The myth does not explain the past only; it justifies the hierarchical order of </w:t>
      </w:r>
      <w:r w:rsidRPr="004E5046">
        <w:rPr>
          <w:rFonts w:eastAsia="Times New Roman"/>
          <w:lang w:eastAsia=""/>
        </w:rPr>
        <w:lastRenderedPageBreak/>
        <w:t>the present, so that the peasantry, the clergy and the nobility all share a single identity as the people of the Ark (Brooks 115).</w:t>
      </w:r>
    </w:p>
    <w:p w14:paraId="7DA83B34" w14:textId="77777777" w:rsidR="004E5046" w:rsidRPr="00954D86" w:rsidRDefault="004E5046" w:rsidP="00954D86">
      <w:pPr>
        <w:spacing w:after="0" w:line="480" w:lineRule="auto"/>
        <w:rPr>
          <w:rFonts w:eastAsia="Times New Roman"/>
          <w:b/>
          <w:bCs/>
          <w:lang w:eastAsia=""/>
        </w:rPr>
      </w:pPr>
      <w:r w:rsidRPr="00954D86">
        <w:rPr>
          <w:rFonts w:eastAsia="Times New Roman"/>
          <w:b/>
          <w:bCs/>
          <w:lang w:eastAsia=""/>
        </w:rPr>
        <w:t>Conclusion</w:t>
      </w:r>
    </w:p>
    <w:p w14:paraId="4E07E315" w14:textId="49991345" w:rsidR="00574E88" w:rsidRDefault="004E5046" w:rsidP="004E5046">
      <w:pPr>
        <w:spacing w:after="0" w:line="480" w:lineRule="auto"/>
        <w:ind w:firstLine="720"/>
        <w:rPr>
          <w:rFonts w:eastAsia="Times New Roman"/>
          <w:lang w:eastAsia=""/>
        </w:rPr>
      </w:pPr>
      <w:r w:rsidRPr="004E5046">
        <w:rPr>
          <w:rFonts w:eastAsia="Times New Roman"/>
          <w:lang w:eastAsia=""/>
        </w:rPr>
        <w:t>The creation epic of the Kebra Nagast is much more than an account of ancient royalty; it is the pulse of Ethiopian civilization. Adding the overview of the union of Makeda and Solomon with the examination of the cultural context of the latter in the 14 th century, we observe a myth that is meant to justify power and instill national pride. The story inculcates wisdom and divine power in the nonmaterial culture of the country through the archetypes of the Seeker and the Wise King. Through a functionalist lens, the myth is uncovered as being a needed social architecture that gave Ethiopia a strong identity that it could hold onto even in the face of centuries of foreign influence.</w:t>
      </w:r>
    </w:p>
    <w:p w14:paraId="1085228C" w14:textId="53EC6156" w:rsidR="004E5046" w:rsidRDefault="004E5046" w:rsidP="004E5046">
      <w:pPr>
        <w:spacing w:after="0" w:line="480" w:lineRule="auto"/>
        <w:ind w:firstLine="720"/>
        <w:rPr>
          <w:rFonts w:eastAsia="Times New Roman"/>
          <w:lang w:eastAsia=""/>
        </w:rPr>
      </w:pPr>
    </w:p>
    <w:p w14:paraId="2E5EF3DD" w14:textId="0BBE340A" w:rsidR="00954D86" w:rsidRDefault="00954D86" w:rsidP="004E5046">
      <w:pPr>
        <w:spacing w:after="0" w:line="480" w:lineRule="auto"/>
        <w:ind w:firstLine="720"/>
        <w:rPr>
          <w:rFonts w:eastAsia="Times New Roman"/>
          <w:lang w:eastAsia=""/>
        </w:rPr>
      </w:pPr>
    </w:p>
    <w:p w14:paraId="1ADF1371" w14:textId="7AF9852D" w:rsidR="00954D86" w:rsidRDefault="00954D86" w:rsidP="004E5046">
      <w:pPr>
        <w:spacing w:after="0" w:line="480" w:lineRule="auto"/>
        <w:ind w:firstLine="720"/>
        <w:rPr>
          <w:rFonts w:eastAsia="Times New Roman"/>
          <w:lang w:eastAsia=""/>
        </w:rPr>
      </w:pPr>
    </w:p>
    <w:p w14:paraId="51771937" w14:textId="610F3536" w:rsidR="00954D86" w:rsidRDefault="00954D86" w:rsidP="004E5046">
      <w:pPr>
        <w:spacing w:after="0" w:line="480" w:lineRule="auto"/>
        <w:ind w:firstLine="720"/>
        <w:rPr>
          <w:rFonts w:eastAsia="Times New Roman"/>
          <w:lang w:eastAsia=""/>
        </w:rPr>
      </w:pPr>
    </w:p>
    <w:p w14:paraId="1F79377B" w14:textId="08521B84" w:rsidR="00954D86" w:rsidRDefault="00954D86" w:rsidP="004E5046">
      <w:pPr>
        <w:spacing w:after="0" w:line="480" w:lineRule="auto"/>
        <w:ind w:firstLine="720"/>
        <w:rPr>
          <w:rFonts w:eastAsia="Times New Roman"/>
          <w:lang w:eastAsia=""/>
        </w:rPr>
      </w:pPr>
    </w:p>
    <w:p w14:paraId="50F64269" w14:textId="125E9D79" w:rsidR="00954D86" w:rsidRDefault="00954D86" w:rsidP="004E5046">
      <w:pPr>
        <w:spacing w:after="0" w:line="480" w:lineRule="auto"/>
        <w:ind w:firstLine="720"/>
        <w:rPr>
          <w:rFonts w:eastAsia="Times New Roman"/>
          <w:lang w:eastAsia=""/>
        </w:rPr>
      </w:pPr>
    </w:p>
    <w:p w14:paraId="52CBF0F0" w14:textId="74E71A0D" w:rsidR="00954D86" w:rsidRDefault="00954D86" w:rsidP="004E5046">
      <w:pPr>
        <w:spacing w:after="0" w:line="480" w:lineRule="auto"/>
        <w:ind w:firstLine="720"/>
        <w:rPr>
          <w:rFonts w:eastAsia="Times New Roman"/>
          <w:lang w:eastAsia=""/>
        </w:rPr>
      </w:pPr>
    </w:p>
    <w:p w14:paraId="60DF5005" w14:textId="720DADD9" w:rsidR="00954D86" w:rsidRDefault="00954D86" w:rsidP="004E5046">
      <w:pPr>
        <w:spacing w:after="0" w:line="480" w:lineRule="auto"/>
        <w:ind w:firstLine="720"/>
        <w:rPr>
          <w:rFonts w:eastAsia="Times New Roman"/>
          <w:lang w:eastAsia=""/>
        </w:rPr>
      </w:pPr>
    </w:p>
    <w:p w14:paraId="11D35C77" w14:textId="748EF3CE" w:rsidR="00954D86" w:rsidRDefault="00954D86" w:rsidP="004E5046">
      <w:pPr>
        <w:spacing w:after="0" w:line="480" w:lineRule="auto"/>
        <w:ind w:firstLine="720"/>
        <w:rPr>
          <w:rFonts w:eastAsia="Times New Roman"/>
          <w:lang w:eastAsia=""/>
        </w:rPr>
      </w:pPr>
    </w:p>
    <w:p w14:paraId="2B2C16FB" w14:textId="557A5973" w:rsidR="00954D86" w:rsidRDefault="00954D86" w:rsidP="004E5046">
      <w:pPr>
        <w:spacing w:after="0" w:line="480" w:lineRule="auto"/>
        <w:ind w:firstLine="720"/>
        <w:rPr>
          <w:rFonts w:eastAsia="Times New Roman"/>
          <w:lang w:eastAsia=""/>
        </w:rPr>
      </w:pPr>
    </w:p>
    <w:p w14:paraId="51C66871" w14:textId="43A1A4D2" w:rsidR="00954D86" w:rsidRDefault="00954D86" w:rsidP="004E5046">
      <w:pPr>
        <w:spacing w:after="0" w:line="480" w:lineRule="auto"/>
        <w:ind w:firstLine="720"/>
        <w:rPr>
          <w:rFonts w:eastAsia="Times New Roman"/>
          <w:lang w:eastAsia=""/>
        </w:rPr>
      </w:pPr>
    </w:p>
    <w:p w14:paraId="2B3CEA1A" w14:textId="5AEDAACE" w:rsidR="00954D86" w:rsidRDefault="00954D86" w:rsidP="004E5046">
      <w:pPr>
        <w:spacing w:after="0" w:line="480" w:lineRule="auto"/>
        <w:ind w:firstLine="720"/>
        <w:rPr>
          <w:rFonts w:eastAsia="Times New Roman"/>
          <w:lang w:eastAsia=""/>
        </w:rPr>
      </w:pPr>
    </w:p>
    <w:p w14:paraId="0D37EA77" w14:textId="352A9FFD" w:rsidR="00954D86" w:rsidRDefault="00954D86" w:rsidP="004E5046">
      <w:pPr>
        <w:spacing w:after="0" w:line="480" w:lineRule="auto"/>
        <w:ind w:firstLine="720"/>
        <w:rPr>
          <w:rFonts w:eastAsia="Times New Roman"/>
          <w:lang w:eastAsia=""/>
        </w:rPr>
      </w:pPr>
    </w:p>
    <w:p w14:paraId="3F486EB3" w14:textId="77777777" w:rsidR="00954D86" w:rsidRPr="004E5046" w:rsidRDefault="00954D86" w:rsidP="004E5046">
      <w:pPr>
        <w:spacing w:after="0" w:line="480" w:lineRule="auto"/>
        <w:ind w:firstLine="720"/>
        <w:rPr>
          <w:rFonts w:eastAsia="Times New Roman"/>
          <w:lang w:eastAsia=""/>
        </w:rPr>
      </w:pPr>
      <w:bookmarkStart w:id="0" w:name="_GoBack"/>
      <w:bookmarkEnd w:id="0"/>
    </w:p>
    <w:p w14:paraId="2997BBE4" w14:textId="7031BBA2" w:rsidR="00463FA8" w:rsidRDefault="00C37B58" w:rsidP="00A478A3">
      <w:pPr>
        <w:spacing w:after="0" w:line="480" w:lineRule="auto"/>
        <w:jc w:val="center"/>
        <w:rPr>
          <w:rFonts w:eastAsia="Times New Roman"/>
          <w:b/>
          <w:bCs/>
          <w:lang w:eastAsia=""/>
        </w:rPr>
      </w:pPr>
      <w:r w:rsidRPr="00463FA8">
        <w:rPr>
          <w:rFonts w:eastAsia="Times New Roman"/>
          <w:b/>
          <w:bCs/>
          <w:lang w:eastAsia=""/>
        </w:rPr>
        <w:lastRenderedPageBreak/>
        <w:t>Works Cited</w:t>
      </w:r>
    </w:p>
    <w:p w14:paraId="3EF829FE" w14:textId="77777777" w:rsidR="00574E88" w:rsidRDefault="00574E88" w:rsidP="00574E88">
      <w:pPr>
        <w:spacing w:after="0" w:line="480" w:lineRule="auto"/>
        <w:rPr>
          <w:rFonts w:eastAsia="Times New Roman"/>
          <w:b/>
          <w:bCs/>
          <w:lang w:eastAsia=""/>
        </w:rPr>
      </w:pPr>
    </w:p>
    <w:p w14:paraId="2E69DB47" w14:textId="77777777" w:rsidR="004E5046" w:rsidRDefault="004E5046" w:rsidP="004E5046">
      <w:pPr>
        <w:pStyle w:val="NormalWeb"/>
        <w:spacing w:line="480" w:lineRule="auto"/>
        <w:ind w:left="720" w:hanging="720"/>
      </w:pPr>
      <w:r>
        <w:t xml:space="preserve">Brooks, Miguel F., editor. </w:t>
      </w:r>
      <w:r>
        <w:rPr>
          <w:i/>
          <w:iCs/>
        </w:rPr>
        <w:t>A Kebra Nagast (The Glory of Kings): The True Ark of the Covenant</w:t>
      </w:r>
      <w:r>
        <w:t>. Lawrenceville: Red Sea Press, 1996.</w:t>
      </w:r>
    </w:p>
    <w:p w14:paraId="2E0DEFB6" w14:textId="77777777" w:rsidR="004E5046" w:rsidRDefault="004E5046" w:rsidP="004E5046">
      <w:pPr>
        <w:pStyle w:val="NormalWeb"/>
        <w:spacing w:line="480" w:lineRule="auto"/>
        <w:ind w:left="720" w:hanging="720"/>
      </w:pPr>
      <w:r>
        <w:t xml:space="preserve">Budge, E. A. Wallis, translator. </w:t>
      </w:r>
      <w:r>
        <w:rPr>
          <w:i/>
          <w:iCs/>
        </w:rPr>
        <w:t>The Queen of Sheba and Her Only Son Menyelek (Kebra Nagast)</w:t>
      </w:r>
      <w:r>
        <w:t>. Oxford University Press, 1932.</w:t>
      </w:r>
    </w:p>
    <w:p w14:paraId="67B1E671" w14:textId="77777777" w:rsidR="004E5046" w:rsidRDefault="004E5046" w:rsidP="004E5046">
      <w:pPr>
        <w:pStyle w:val="NormalWeb"/>
        <w:spacing w:line="480" w:lineRule="auto"/>
        <w:ind w:left="720" w:hanging="720"/>
      </w:pPr>
      <w:r>
        <w:t xml:space="preserve">Kaplan, Steven. </w:t>
      </w:r>
      <w:r>
        <w:rPr>
          <w:i/>
          <w:iCs/>
        </w:rPr>
        <w:t>The Beta Israel (Falasha) in Ethiopia: From Earliest Times to the Twentieth Century</w:t>
      </w:r>
      <w:r>
        <w:t>. New York University Press, 1992.</w:t>
      </w:r>
    </w:p>
    <w:p w14:paraId="2EE26846" w14:textId="77777777" w:rsidR="004E5046" w:rsidRDefault="004E5046" w:rsidP="004E5046">
      <w:pPr>
        <w:pStyle w:val="NormalWeb"/>
        <w:spacing w:line="480" w:lineRule="auto"/>
        <w:ind w:left="720" w:hanging="720"/>
      </w:pPr>
      <w:r>
        <w:t xml:space="preserve">Munro-Hay, Stuart. </w:t>
      </w:r>
      <w:r>
        <w:rPr>
          <w:i/>
          <w:iCs/>
        </w:rPr>
        <w:t>Aksum: An African Civilisation of Late Antiquity</w:t>
      </w:r>
      <w:r>
        <w:t>. Edinburgh University Press, 1991.</w:t>
      </w:r>
    </w:p>
    <w:p w14:paraId="3EC71C7F" w14:textId="77777777" w:rsidR="004E5046" w:rsidRDefault="004E5046" w:rsidP="004E5046">
      <w:pPr>
        <w:pStyle w:val="NormalWeb"/>
        <w:spacing w:line="480" w:lineRule="auto"/>
        <w:ind w:left="720" w:hanging="720"/>
      </w:pPr>
      <w:r>
        <w:t xml:space="preserve">Pankhurst, Richard. </w:t>
      </w:r>
      <w:r>
        <w:rPr>
          <w:i/>
          <w:iCs/>
        </w:rPr>
        <w:t>The Ethiopians: A History</w:t>
      </w:r>
      <w:r>
        <w:t>. Blackwell Publishers, 1998.</w:t>
      </w:r>
    </w:p>
    <w:p w14:paraId="3C45FCFD" w14:textId="77777777" w:rsidR="00DB3D30" w:rsidRPr="00463FA8" w:rsidRDefault="00DB3D30" w:rsidP="00DB3D30">
      <w:pPr>
        <w:spacing w:after="0" w:line="480" w:lineRule="auto"/>
        <w:rPr>
          <w:rFonts w:eastAsia="Times New Roman"/>
          <w:lang w:eastAsia=""/>
        </w:rPr>
      </w:pPr>
    </w:p>
    <w:p w14:paraId="6D22DC92" w14:textId="77777777" w:rsidR="00766E63" w:rsidRPr="00766E63" w:rsidRDefault="00766E63" w:rsidP="00F771B8">
      <w:pPr>
        <w:spacing w:after="0" w:line="480" w:lineRule="auto"/>
        <w:rPr>
          <w:rFonts w:eastAsia="Times New Roman"/>
          <w:lang w:eastAsia=""/>
        </w:rPr>
      </w:pPr>
    </w:p>
    <w:sectPr w:rsidR="00766E63" w:rsidRPr="00766E6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CF039" w14:textId="77777777" w:rsidR="00BB741E" w:rsidRDefault="00BB741E">
      <w:pPr>
        <w:spacing w:after="0" w:line="240" w:lineRule="auto"/>
      </w:pPr>
      <w:r>
        <w:separator/>
      </w:r>
    </w:p>
  </w:endnote>
  <w:endnote w:type="continuationSeparator" w:id="0">
    <w:p w14:paraId="025661DD" w14:textId="77777777" w:rsidR="00BB741E" w:rsidRDefault="00BB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0A6D6" w14:textId="77777777" w:rsidR="00BB741E" w:rsidRDefault="00BB741E">
      <w:pPr>
        <w:spacing w:after="0" w:line="240" w:lineRule="auto"/>
      </w:pPr>
      <w:r>
        <w:separator/>
      </w:r>
    </w:p>
  </w:footnote>
  <w:footnote w:type="continuationSeparator" w:id="0">
    <w:p w14:paraId="48319BC4" w14:textId="77777777" w:rsidR="00BB741E" w:rsidRDefault="00BB7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68AF7" w14:textId="7ADC7081" w:rsidR="00165108" w:rsidRDefault="004214FC" w:rsidP="00165108">
    <w:pPr>
      <w:pStyle w:val="Header"/>
      <w:jc w:val="right"/>
      <w:rPr>
        <w:noProof/>
      </w:rPr>
    </w:pPr>
    <w:r>
      <w:rPr>
        <w:lang w:val="en-US"/>
      </w:rPr>
      <w:t>Last Name</w:t>
    </w:r>
    <w:r w:rsidR="00C37B58">
      <w:rPr>
        <w:lang w:val="en-US"/>
      </w:rPr>
      <w:t xml:space="preserve"> </w:t>
    </w:r>
    <w:sdt>
      <w:sdtPr>
        <w:id w:val="-536435859"/>
        <w:docPartObj>
          <w:docPartGallery w:val="Page Numbers (Top of Page)"/>
          <w:docPartUnique/>
        </w:docPartObj>
      </w:sdtPr>
      <w:sdtEndPr>
        <w:rPr>
          <w:noProof/>
        </w:rPr>
      </w:sdtEndPr>
      <w:sdtContent>
        <w:r w:rsidR="009846DE">
          <w:fldChar w:fldCharType="begin"/>
        </w:r>
        <w:r w:rsidR="009846DE">
          <w:instrText xml:space="preserve"> PAGE   \* MERGEFORMAT </w:instrText>
        </w:r>
        <w:r w:rsidR="009846DE">
          <w:fldChar w:fldCharType="separate"/>
        </w:r>
        <w:r w:rsidR="009846DE">
          <w:rPr>
            <w:noProof/>
          </w:rPr>
          <w:t>2</w:t>
        </w:r>
        <w:r w:rsidR="009846DE">
          <w:rPr>
            <w:noProof/>
          </w:rPr>
          <w:fldChar w:fldCharType="end"/>
        </w:r>
      </w:sdtContent>
    </w:sdt>
  </w:p>
  <w:p w14:paraId="472DE725" w14:textId="77777777" w:rsidR="00AD1401" w:rsidRPr="00165108" w:rsidRDefault="00AD140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130A4"/>
    <w:multiLevelType w:val="multilevel"/>
    <w:tmpl w:val="72940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E2964"/>
    <w:multiLevelType w:val="multilevel"/>
    <w:tmpl w:val="2DD2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6538F"/>
    <w:multiLevelType w:val="multilevel"/>
    <w:tmpl w:val="CA7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867B7"/>
    <w:multiLevelType w:val="hybridMultilevel"/>
    <w:tmpl w:val="179AE92C"/>
    <w:lvl w:ilvl="0" w:tplc="873C75F2">
      <w:start w:val="1"/>
      <w:numFmt w:val="bullet"/>
      <w:lvlText w:val=""/>
      <w:lvlJc w:val="left"/>
      <w:pPr>
        <w:ind w:left="720" w:hanging="360"/>
      </w:pPr>
      <w:rPr>
        <w:rFonts w:ascii="Symbol" w:hAnsi="Symbol" w:hint="default"/>
      </w:rPr>
    </w:lvl>
    <w:lvl w:ilvl="1" w:tplc="67104F5A" w:tentative="1">
      <w:start w:val="1"/>
      <w:numFmt w:val="bullet"/>
      <w:lvlText w:val="o"/>
      <w:lvlJc w:val="left"/>
      <w:pPr>
        <w:ind w:left="1440" w:hanging="360"/>
      </w:pPr>
      <w:rPr>
        <w:rFonts w:ascii="Courier New" w:hAnsi="Courier New" w:cs="Courier New" w:hint="default"/>
      </w:rPr>
    </w:lvl>
    <w:lvl w:ilvl="2" w:tplc="9CE2FF1C" w:tentative="1">
      <w:start w:val="1"/>
      <w:numFmt w:val="bullet"/>
      <w:lvlText w:val=""/>
      <w:lvlJc w:val="left"/>
      <w:pPr>
        <w:ind w:left="2160" w:hanging="360"/>
      </w:pPr>
      <w:rPr>
        <w:rFonts w:ascii="Wingdings" w:hAnsi="Wingdings" w:hint="default"/>
      </w:rPr>
    </w:lvl>
    <w:lvl w:ilvl="3" w:tplc="67B26FDC" w:tentative="1">
      <w:start w:val="1"/>
      <w:numFmt w:val="bullet"/>
      <w:lvlText w:val=""/>
      <w:lvlJc w:val="left"/>
      <w:pPr>
        <w:ind w:left="2880" w:hanging="360"/>
      </w:pPr>
      <w:rPr>
        <w:rFonts w:ascii="Symbol" w:hAnsi="Symbol" w:hint="default"/>
      </w:rPr>
    </w:lvl>
    <w:lvl w:ilvl="4" w:tplc="D338C93E" w:tentative="1">
      <w:start w:val="1"/>
      <w:numFmt w:val="bullet"/>
      <w:lvlText w:val="o"/>
      <w:lvlJc w:val="left"/>
      <w:pPr>
        <w:ind w:left="3600" w:hanging="360"/>
      </w:pPr>
      <w:rPr>
        <w:rFonts w:ascii="Courier New" w:hAnsi="Courier New" w:cs="Courier New" w:hint="default"/>
      </w:rPr>
    </w:lvl>
    <w:lvl w:ilvl="5" w:tplc="E476173E" w:tentative="1">
      <w:start w:val="1"/>
      <w:numFmt w:val="bullet"/>
      <w:lvlText w:val=""/>
      <w:lvlJc w:val="left"/>
      <w:pPr>
        <w:ind w:left="4320" w:hanging="360"/>
      </w:pPr>
      <w:rPr>
        <w:rFonts w:ascii="Wingdings" w:hAnsi="Wingdings" w:hint="default"/>
      </w:rPr>
    </w:lvl>
    <w:lvl w:ilvl="6" w:tplc="EF900360" w:tentative="1">
      <w:start w:val="1"/>
      <w:numFmt w:val="bullet"/>
      <w:lvlText w:val=""/>
      <w:lvlJc w:val="left"/>
      <w:pPr>
        <w:ind w:left="5040" w:hanging="360"/>
      </w:pPr>
      <w:rPr>
        <w:rFonts w:ascii="Symbol" w:hAnsi="Symbol" w:hint="default"/>
      </w:rPr>
    </w:lvl>
    <w:lvl w:ilvl="7" w:tplc="EF948AA6" w:tentative="1">
      <w:start w:val="1"/>
      <w:numFmt w:val="bullet"/>
      <w:lvlText w:val="o"/>
      <w:lvlJc w:val="left"/>
      <w:pPr>
        <w:ind w:left="5760" w:hanging="360"/>
      </w:pPr>
      <w:rPr>
        <w:rFonts w:ascii="Courier New" w:hAnsi="Courier New" w:cs="Courier New" w:hint="default"/>
      </w:rPr>
    </w:lvl>
    <w:lvl w:ilvl="8" w:tplc="A3D24C06" w:tentative="1">
      <w:start w:val="1"/>
      <w:numFmt w:val="bullet"/>
      <w:lvlText w:val=""/>
      <w:lvlJc w:val="left"/>
      <w:pPr>
        <w:ind w:left="6480" w:hanging="360"/>
      </w:pPr>
      <w:rPr>
        <w:rFonts w:ascii="Wingdings" w:hAnsi="Wingdings" w:hint="default"/>
      </w:rPr>
    </w:lvl>
  </w:abstractNum>
  <w:abstractNum w:abstractNumId="4" w15:restartNumberingAfterBreak="0">
    <w:nsid w:val="785D53E9"/>
    <w:multiLevelType w:val="multilevel"/>
    <w:tmpl w:val="B582E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0tzA2MDY2MDI3NLVQ0lEKTi0uzszPAykwrAUAjmBlUywAAAA="/>
  </w:docVars>
  <w:rsids>
    <w:rsidRoot w:val="007A1163"/>
    <w:rsid w:val="00012EBE"/>
    <w:rsid w:val="00023511"/>
    <w:rsid w:val="00036EDC"/>
    <w:rsid w:val="00045D46"/>
    <w:rsid w:val="00070B5C"/>
    <w:rsid w:val="00073012"/>
    <w:rsid w:val="000751C5"/>
    <w:rsid w:val="00092936"/>
    <w:rsid w:val="000929DE"/>
    <w:rsid w:val="0009455A"/>
    <w:rsid w:val="000A7601"/>
    <w:rsid w:val="000B1519"/>
    <w:rsid w:val="000F33FD"/>
    <w:rsid w:val="000F74EE"/>
    <w:rsid w:val="00122A98"/>
    <w:rsid w:val="00127862"/>
    <w:rsid w:val="00134136"/>
    <w:rsid w:val="00137EDB"/>
    <w:rsid w:val="00155B50"/>
    <w:rsid w:val="001632D0"/>
    <w:rsid w:val="00164880"/>
    <w:rsid w:val="00165108"/>
    <w:rsid w:val="00165F1C"/>
    <w:rsid w:val="00170224"/>
    <w:rsid w:val="0017141D"/>
    <w:rsid w:val="0017722C"/>
    <w:rsid w:val="00177587"/>
    <w:rsid w:val="00183B35"/>
    <w:rsid w:val="001A2264"/>
    <w:rsid w:val="001A49F1"/>
    <w:rsid w:val="001B6FDD"/>
    <w:rsid w:val="001C1876"/>
    <w:rsid w:val="001D71C5"/>
    <w:rsid w:val="001F2A9B"/>
    <w:rsid w:val="00212B44"/>
    <w:rsid w:val="00222349"/>
    <w:rsid w:val="00222D3E"/>
    <w:rsid w:val="00226E88"/>
    <w:rsid w:val="00234027"/>
    <w:rsid w:val="0023545F"/>
    <w:rsid w:val="00243C92"/>
    <w:rsid w:val="00250240"/>
    <w:rsid w:val="00251000"/>
    <w:rsid w:val="00266839"/>
    <w:rsid w:val="00272498"/>
    <w:rsid w:val="00277051"/>
    <w:rsid w:val="002900FE"/>
    <w:rsid w:val="002A03A5"/>
    <w:rsid w:val="002B2BC7"/>
    <w:rsid w:val="002B405E"/>
    <w:rsid w:val="002C2974"/>
    <w:rsid w:val="002D0476"/>
    <w:rsid w:val="002D1DE7"/>
    <w:rsid w:val="002D692B"/>
    <w:rsid w:val="002F0D92"/>
    <w:rsid w:val="00303392"/>
    <w:rsid w:val="00305566"/>
    <w:rsid w:val="00306616"/>
    <w:rsid w:val="0031421B"/>
    <w:rsid w:val="00314666"/>
    <w:rsid w:val="00317C42"/>
    <w:rsid w:val="00323C47"/>
    <w:rsid w:val="0032627B"/>
    <w:rsid w:val="00330FAF"/>
    <w:rsid w:val="00332C58"/>
    <w:rsid w:val="00336465"/>
    <w:rsid w:val="00337292"/>
    <w:rsid w:val="00346B5E"/>
    <w:rsid w:val="00356A6C"/>
    <w:rsid w:val="003603A2"/>
    <w:rsid w:val="00363ACB"/>
    <w:rsid w:val="00377049"/>
    <w:rsid w:val="003838D4"/>
    <w:rsid w:val="00386FC1"/>
    <w:rsid w:val="003976C0"/>
    <w:rsid w:val="003E0DA1"/>
    <w:rsid w:val="003F34CC"/>
    <w:rsid w:val="003F4CCD"/>
    <w:rsid w:val="00410577"/>
    <w:rsid w:val="004135D7"/>
    <w:rsid w:val="004214FC"/>
    <w:rsid w:val="0042165E"/>
    <w:rsid w:val="00433C02"/>
    <w:rsid w:val="0044096E"/>
    <w:rsid w:val="00445564"/>
    <w:rsid w:val="00453BB9"/>
    <w:rsid w:val="0045537F"/>
    <w:rsid w:val="00463FA8"/>
    <w:rsid w:val="004751B1"/>
    <w:rsid w:val="0048669C"/>
    <w:rsid w:val="004C0514"/>
    <w:rsid w:val="004C1D5D"/>
    <w:rsid w:val="004D36D8"/>
    <w:rsid w:val="004E3968"/>
    <w:rsid w:val="004E5046"/>
    <w:rsid w:val="004E79CF"/>
    <w:rsid w:val="004F07F0"/>
    <w:rsid w:val="0050047B"/>
    <w:rsid w:val="0051643F"/>
    <w:rsid w:val="00517C7B"/>
    <w:rsid w:val="005339F4"/>
    <w:rsid w:val="00552ED4"/>
    <w:rsid w:val="0056237D"/>
    <w:rsid w:val="0056395E"/>
    <w:rsid w:val="005736DA"/>
    <w:rsid w:val="00574E88"/>
    <w:rsid w:val="00575208"/>
    <w:rsid w:val="00575E4D"/>
    <w:rsid w:val="00586904"/>
    <w:rsid w:val="005939FA"/>
    <w:rsid w:val="00595369"/>
    <w:rsid w:val="005A4719"/>
    <w:rsid w:val="005A5C56"/>
    <w:rsid w:val="005B18D9"/>
    <w:rsid w:val="005C05AC"/>
    <w:rsid w:val="005C7ABF"/>
    <w:rsid w:val="005D4559"/>
    <w:rsid w:val="005E2EC2"/>
    <w:rsid w:val="00600E91"/>
    <w:rsid w:val="00610D65"/>
    <w:rsid w:val="0061480D"/>
    <w:rsid w:val="0063044B"/>
    <w:rsid w:val="00635471"/>
    <w:rsid w:val="00647120"/>
    <w:rsid w:val="0065413B"/>
    <w:rsid w:val="0065689D"/>
    <w:rsid w:val="006603CC"/>
    <w:rsid w:val="00661FD7"/>
    <w:rsid w:val="006907A3"/>
    <w:rsid w:val="006B21FB"/>
    <w:rsid w:val="006B2DFD"/>
    <w:rsid w:val="006B6B2D"/>
    <w:rsid w:val="006D6DF7"/>
    <w:rsid w:val="006D70F0"/>
    <w:rsid w:val="006D77A5"/>
    <w:rsid w:val="006D7EEE"/>
    <w:rsid w:val="00716B52"/>
    <w:rsid w:val="007277C6"/>
    <w:rsid w:val="00766E63"/>
    <w:rsid w:val="00770216"/>
    <w:rsid w:val="00786DD3"/>
    <w:rsid w:val="007A1163"/>
    <w:rsid w:val="007A46AE"/>
    <w:rsid w:val="007D6887"/>
    <w:rsid w:val="007D7F0F"/>
    <w:rsid w:val="007E3943"/>
    <w:rsid w:val="00816583"/>
    <w:rsid w:val="00822471"/>
    <w:rsid w:val="00825896"/>
    <w:rsid w:val="00835C68"/>
    <w:rsid w:val="00843364"/>
    <w:rsid w:val="008514F4"/>
    <w:rsid w:val="008640E8"/>
    <w:rsid w:val="008A1412"/>
    <w:rsid w:val="008A7B62"/>
    <w:rsid w:val="008C794D"/>
    <w:rsid w:val="008D00F3"/>
    <w:rsid w:val="008D5798"/>
    <w:rsid w:val="008E5EBE"/>
    <w:rsid w:val="008F1B2C"/>
    <w:rsid w:val="0090382F"/>
    <w:rsid w:val="009061A4"/>
    <w:rsid w:val="0091219E"/>
    <w:rsid w:val="0092705F"/>
    <w:rsid w:val="009337C9"/>
    <w:rsid w:val="00954D86"/>
    <w:rsid w:val="00956000"/>
    <w:rsid w:val="00960358"/>
    <w:rsid w:val="0096669B"/>
    <w:rsid w:val="009667CA"/>
    <w:rsid w:val="0097554A"/>
    <w:rsid w:val="009846DE"/>
    <w:rsid w:val="009A274E"/>
    <w:rsid w:val="009B530A"/>
    <w:rsid w:val="009B5D50"/>
    <w:rsid w:val="009C273E"/>
    <w:rsid w:val="009E7529"/>
    <w:rsid w:val="009F361F"/>
    <w:rsid w:val="00A03D85"/>
    <w:rsid w:val="00A10839"/>
    <w:rsid w:val="00A13627"/>
    <w:rsid w:val="00A4510C"/>
    <w:rsid w:val="00A478A3"/>
    <w:rsid w:val="00A523AE"/>
    <w:rsid w:val="00A75451"/>
    <w:rsid w:val="00A7646A"/>
    <w:rsid w:val="00A837B5"/>
    <w:rsid w:val="00A87B7E"/>
    <w:rsid w:val="00AD1401"/>
    <w:rsid w:val="00AE52CA"/>
    <w:rsid w:val="00AF690D"/>
    <w:rsid w:val="00B35FA8"/>
    <w:rsid w:val="00B44DB9"/>
    <w:rsid w:val="00B52193"/>
    <w:rsid w:val="00B52A7D"/>
    <w:rsid w:val="00B67AF2"/>
    <w:rsid w:val="00B95F31"/>
    <w:rsid w:val="00BA0B0A"/>
    <w:rsid w:val="00BA1293"/>
    <w:rsid w:val="00BB741E"/>
    <w:rsid w:val="00BC67D0"/>
    <w:rsid w:val="00BD19FD"/>
    <w:rsid w:val="00BE1D70"/>
    <w:rsid w:val="00BF5CCB"/>
    <w:rsid w:val="00C048AC"/>
    <w:rsid w:val="00C222DA"/>
    <w:rsid w:val="00C33D3A"/>
    <w:rsid w:val="00C37B58"/>
    <w:rsid w:val="00C420B4"/>
    <w:rsid w:val="00C551E5"/>
    <w:rsid w:val="00C65E0D"/>
    <w:rsid w:val="00C77521"/>
    <w:rsid w:val="00C823EA"/>
    <w:rsid w:val="00C9187D"/>
    <w:rsid w:val="00C9350A"/>
    <w:rsid w:val="00CB0732"/>
    <w:rsid w:val="00CC0BA4"/>
    <w:rsid w:val="00CD2435"/>
    <w:rsid w:val="00CD5942"/>
    <w:rsid w:val="00CE67D7"/>
    <w:rsid w:val="00CF537A"/>
    <w:rsid w:val="00D10055"/>
    <w:rsid w:val="00D4591E"/>
    <w:rsid w:val="00D83289"/>
    <w:rsid w:val="00D86787"/>
    <w:rsid w:val="00D975A7"/>
    <w:rsid w:val="00DB3D30"/>
    <w:rsid w:val="00DD6097"/>
    <w:rsid w:val="00DF0F08"/>
    <w:rsid w:val="00E024DD"/>
    <w:rsid w:val="00E1066C"/>
    <w:rsid w:val="00E13A96"/>
    <w:rsid w:val="00E1512E"/>
    <w:rsid w:val="00E239BA"/>
    <w:rsid w:val="00E2728A"/>
    <w:rsid w:val="00E3508B"/>
    <w:rsid w:val="00E5001B"/>
    <w:rsid w:val="00E548E7"/>
    <w:rsid w:val="00E61EF7"/>
    <w:rsid w:val="00E72712"/>
    <w:rsid w:val="00E7359D"/>
    <w:rsid w:val="00EC6514"/>
    <w:rsid w:val="00ED6C59"/>
    <w:rsid w:val="00ED7194"/>
    <w:rsid w:val="00EE42DC"/>
    <w:rsid w:val="00EE48B5"/>
    <w:rsid w:val="00EF0625"/>
    <w:rsid w:val="00EF7BEB"/>
    <w:rsid w:val="00F05ED5"/>
    <w:rsid w:val="00F14A28"/>
    <w:rsid w:val="00F2607F"/>
    <w:rsid w:val="00F31885"/>
    <w:rsid w:val="00F46570"/>
    <w:rsid w:val="00F514ED"/>
    <w:rsid w:val="00F7659A"/>
    <w:rsid w:val="00F771B8"/>
    <w:rsid w:val="00F77B20"/>
    <w:rsid w:val="00F927D0"/>
    <w:rsid w:val="00F96E33"/>
    <w:rsid w:val="00FA1C18"/>
    <w:rsid w:val="00FC484B"/>
    <w:rsid w:val="00FC59E6"/>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3709A"/>
  <w15:chartTrackingRefBased/>
  <w15:docId w15:val="{64BD0B51-8356-4E28-BF4C-6482608D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214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22471"/>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1163"/>
    <w:rPr>
      <w:b/>
      <w:bCs/>
    </w:rPr>
  </w:style>
  <w:style w:type="character" w:styleId="Emphasis">
    <w:name w:val="Emphasis"/>
    <w:basedOn w:val="DefaultParagraphFont"/>
    <w:uiPriority w:val="20"/>
    <w:qFormat/>
    <w:rsid w:val="007A1163"/>
    <w:rPr>
      <w:i/>
      <w:iCs/>
    </w:rPr>
  </w:style>
  <w:style w:type="paragraph" w:styleId="NoSpacing">
    <w:name w:val="No Spacing"/>
    <w:aliases w:val="No Indent"/>
    <w:uiPriority w:val="1"/>
    <w:qFormat/>
    <w:rsid w:val="00AD1401"/>
    <w:pPr>
      <w:spacing w:after="0" w:line="480" w:lineRule="auto"/>
    </w:pPr>
    <w:rPr>
      <w:rFonts w:asciiTheme="minorHAnsi" w:eastAsiaTheme="minorEastAsia" w:hAnsiTheme="minorHAnsi" w:cstheme="minorBidi"/>
      <w:lang w:val="en-US" w:eastAsia="ja-JP"/>
    </w:rPr>
  </w:style>
  <w:style w:type="paragraph" w:styleId="Header">
    <w:name w:val="header"/>
    <w:basedOn w:val="Normal"/>
    <w:link w:val="HeaderChar"/>
    <w:uiPriority w:val="99"/>
    <w:unhideWhenUsed/>
    <w:rsid w:val="00AD1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401"/>
  </w:style>
  <w:style w:type="paragraph" w:styleId="Footer">
    <w:name w:val="footer"/>
    <w:basedOn w:val="Normal"/>
    <w:link w:val="FooterChar"/>
    <w:uiPriority w:val="99"/>
    <w:unhideWhenUsed/>
    <w:rsid w:val="00AD1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401"/>
  </w:style>
  <w:style w:type="paragraph" w:styleId="NormalWeb">
    <w:name w:val="Normal (Web)"/>
    <w:basedOn w:val="Normal"/>
    <w:uiPriority w:val="99"/>
    <w:unhideWhenUsed/>
    <w:rsid w:val="005D4559"/>
    <w:pPr>
      <w:spacing w:before="100" w:beforeAutospacing="1" w:after="100" w:afterAutospacing="1" w:line="240" w:lineRule="auto"/>
    </w:pPr>
    <w:rPr>
      <w:rFonts w:eastAsia="Times New Roman"/>
      <w:lang w:eastAsia=""/>
    </w:rPr>
  </w:style>
  <w:style w:type="table" w:styleId="TableGrid">
    <w:name w:val="Table Grid"/>
    <w:basedOn w:val="TableNormal"/>
    <w:uiPriority w:val="39"/>
    <w:rsid w:val="00766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22471"/>
    <w:rPr>
      <w:rFonts w:eastAsia="Times New Roman"/>
      <w:b/>
      <w:bCs/>
      <w:sz w:val="27"/>
      <w:szCs w:val="27"/>
    </w:rPr>
  </w:style>
  <w:style w:type="character" w:styleId="Hyperlink">
    <w:name w:val="Hyperlink"/>
    <w:basedOn w:val="DefaultParagraphFont"/>
    <w:uiPriority w:val="99"/>
    <w:semiHidden/>
    <w:unhideWhenUsed/>
    <w:rsid w:val="00822471"/>
    <w:rPr>
      <w:color w:val="0000FF"/>
      <w:u w:val="single"/>
    </w:rPr>
  </w:style>
  <w:style w:type="character" w:styleId="CommentReference">
    <w:name w:val="annotation reference"/>
    <w:basedOn w:val="DefaultParagraphFont"/>
    <w:uiPriority w:val="99"/>
    <w:semiHidden/>
    <w:unhideWhenUsed/>
    <w:rsid w:val="0050047B"/>
    <w:rPr>
      <w:sz w:val="16"/>
      <w:szCs w:val="16"/>
    </w:rPr>
  </w:style>
  <w:style w:type="paragraph" w:styleId="CommentText">
    <w:name w:val="annotation text"/>
    <w:basedOn w:val="Normal"/>
    <w:link w:val="CommentTextChar"/>
    <w:uiPriority w:val="99"/>
    <w:semiHidden/>
    <w:unhideWhenUsed/>
    <w:rsid w:val="0050047B"/>
    <w:pPr>
      <w:spacing w:line="240" w:lineRule="auto"/>
    </w:pPr>
    <w:rPr>
      <w:sz w:val="20"/>
      <w:szCs w:val="20"/>
    </w:rPr>
  </w:style>
  <w:style w:type="character" w:customStyle="1" w:styleId="CommentTextChar">
    <w:name w:val="Comment Text Char"/>
    <w:basedOn w:val="DefaultParagraphFont"/>
    <w:link w:val="CommentText"/>
    <w:uiPriority w:val="99"/>
    <w:semiHidden/>
    <w:rsid w:val="0050047B"/>
    <w:rPr>
      <w:sz w:val="20"/>
      <w:szCs w:val="20"/>
    </w:rPr>
  </w:style>
  <w:style w:type="paragraph" w:styleId="CommentSubject">
    <w:name w:val="annotation subject"/>
    <w:basedOn w:val="CommentText"/>
    <w:next w:val="CommentText"/>
    <w:link w:val="CommentSubjectChar"/>
    <w:uiPriority w:val="99"/>
    <w:semiHidden/>
    <w:unhideWhenUsed/>
    <w:rsid w:val="0050047B"/>
    <w:rPr>
      <w:b/>
      <w:bCs/>
    </w:rPr>
  </w:style>
  <w:style w:type="character" w:customStyle="1" w:styleId="CommentSubjectChar">
    <w:name w:val="Comment Subject Char"/>
    <w:basedOn w:val="CommentTextChar"/>
    <w:link w:val="CommentSubject"/>
    <w:uiPriority w:val="99"/>
    <w:semiHidden/>
    <w:rsid w:val="0050047B"/>
    <w:rPr>
      <w:b/>
      <w:bCs/>
      <w:sz w:val="20"/>
      <w:szCs w:val="20"/>
    </w:rPr>
  </w:style>
  <w:style w:type="paragraph" w:styleId="BalloonText">
    <w:name w:val="Balloon Text"/>
    <w:basedOn w:val="Normal"/>
    <w:link w:val="BalloonTextChar"/>
    <w:uiPriority w:val="99"/>
    <w:semiHidden/>
    <w:unhideWhenUsed/>
    <w:rsid w:val="00177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22C"/>
    <w:rPr>
      <w:rFonts w:ascii="Segoe UI" w:hAnsi="Segoe UI" w:cs="Segoe UI"/>
      <w:sz w:val="18"/>
      <w:szCs w:val="18"/>
    </w:rPr>
  </w:style>
  <w:style w:type="paragraph" w:styleId="ListParagraph">
    <w:name w:val="List Paragraph"/>
    <w:basedOn w:val="Normal"/>
    <w:uiPriority w:val="34"/>
    <w:qFormat/>
    <w:rsid w:val="00C9350A"/>
    <w:pPr>
      <w:ind w:left="720"/>
      <w:contextualSpacing/>
    </w:pPr>
  </w:style>
  <w:style w:type="character" w:customStyle="1" w:styleId="Heading2Char">
    <w:name w:val="Heading 2 Char"/>
    <w:basedOn w:val="DefaultParagraphFont"/>
    <w:link w:val="Heading2"/>
    <w:uiPriority w:val="9"/>
    <w:semiHidden/>
    <w:rsid w:val="004214F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3380">
      <w:bodyDiv w:val="1"/>
      <w:marLeft w:val="0"/>
      <w:marRight w:val="0"/>
      <w:marTop w:val="0"/>
      <w:marBottom w:val="0"/>
      <w:divBdr>
        <w:top w:val="none" w:sz="0" w:space="0" w:color="auto"/>
        <w:left w:val="none" w:sz="0" w:space="0" w:color="auto"/>
        <w:bottom w:val="none" w:sz="0" w:space="0" w:color="auto"/>
        <w:right w:val="none" w:sz="0" w:space="0" w:color="auto"/>
      </w:divBdr>
    </w:div>
    <w:div w:id="471823822">
      <w:bodyDiv w:val="1"/>
      <w:marLeft w:val="0"/>
      <w:marRight w:val="0"/>
      <w:marTop w:val="0"/>
      <w:marBottom w:val="0"/>
      <w:divBdr>
        <w:top w:val="none" w:sz="0" w:space="0" w:color="auto"/>
        <w:left w:val="none" w:sz="0" w:space="0" w:color="auto"/>
        <w:bottom w:val="none" w:sz="0" w:space="0" w:color="auto"/>
        <w:right w:val="none" w:sz="0" w:space="0" w:color="auto"/>
      </w:divBdr>
    </w:div>
    <w:div w:id="721900900">
      <w:bodyDiv w:val="1"/>
      <w:marLeft w:val="0"/>
      <w:marRight w:val="0"/>
      <w:marTop w:val="0"/>
      <w:marBottom w:val="0"/>
      <w:divBdr>
        <w:top w:val="none" w:sz="0" w:space="0" w:color="auto"/>
        <w:left w:val="none" w:sz="0" w:space="0" w:color="auto"/>
        <w:bottom w:val="none" w:sz="0" w:space="0" w:color="auto"/>
        <w:right w:val="none" w:sz="0" w:space="0" w:color="auto"/>
      </w:divBdr>
    </w:div>
    <w:div w:id="817958965">
      <w:bodyDiv w:val="1"/>
      <w:marLeft w:val="0"/>
      <w:marRight w:val="0"/>
      <w:marTop w:val="0"/>
      <w:marBottom w:val="0"/>
      <w:divBdr>
        <w:top w:val="none" w:sz="0" w:space="0" w:color="auto"/>
        <w:left w:val="none" w:sz="0" w:space="0" w:color="auto"/>
        <w:bottom w:val="none" w:sz="0" w:space="0" w:color="auto"/>
        <w:right w:val="none" w:sz="0" w:space="0" w:color="auto"/>
      </w:divBdr>
    </w:div>
    <w:div w:id="946350550">
      <w:bodyDiv w:val="1"/>
      <w:marLeft w:val="0"/>
      <w:marRight w:val="0"/>
      <w:marTop w:val="0"/>
      <w:marBottom w:val="0"/>
      <w:divBdr>
        <w:top w:val="none" w:sz="0" w:space="0" w:color="auto"/>
        <w:left w:val="none" w:sz="0" w:space="0" w:color="auto"/>
        <w:bottom w:val="none" w:sz="0" w:space="0" w:color="auto"/>
        <w:right w:val="none" w:sz="0" w:space="0" w:color="auto"/>
      </w:divBdr>
    </w:div>
    <w:div w:id="1247153651">
      <w:bodyDiv w:val="1"/>
      <w:marLeft w:val="0"/>
      <w:marRight w:val="0"/>
      <w:marTop w:val="0"/>
      <w:marBottom w:val="0"/>
      <w:divBdr>
        <w:top w:val="none" w:sz="0" w:space="0" w:color="auto"/>
        <w:left w:val="none" w:sz="0" w:space="0" w:color="auto"/>
        <w:bottom w:val="none" w:sz="0" w:space="0" w:color="auto"/>
        <w:right w:val="none" w:sz="0" w:space="0" w:color="auto"/>
      </w:divBdr>
      <w:divsChild>
        <w:div w:id="2025786431">
          <w:marLeft w:val="0"/>
          <w:marRight w:val="0"/>
          <w:marTop w:val="0"/>
          <w:marBottom w:val="0"/>
          <w:divBdr>
            <w:top w:val="none" w:sz="0" w:space="0" w:color="auto"/>
            <w:left w:val="none" w:sz="0" w:space="0" w:color="auto"/>
            <w:bottom w:val="none" w:sz="0" w:space="0" w:color="auto"/>
            <w:right w:val="none" w:sz="0" w:space="0" w:color="auto"/>
          </w:divBdr>
        </w:div>
      </w:divsChild>
    </w:div>
    <w:div w:id="1823229842">
      <w:bodyDiv w:val="1"/>
      <w:marLeft w:val="0"/>
      <w:marRight w:val="0"/>
      <w:marTop w:val="0"/>
      <w:marBottom w:val="0"/>
      <w:divBdr>
        <w:top w:val="none" w:sz="0" w:space="0" w:color="auto"/>
        <w:left w:val="none" w:sz="0" w:space="0" w:color="auto"/>
        <w:bottom w:val="none" w:sz="0" w:space="0" w:color="auto"/>
        <w:right w:val="none" w:sz="0" w:space="0" w:color="auto"/>
      </w:divBdr>
      <w:divsChild>
        <w:div w:id="1640766976">
          <w:marLeft w:val="0"/>
          <w:marRight w:val="0"/>
          <w:marTop w:val="0"/>
          <w:marBottom w:val="0"/>
          <w:divBdr>
            <w:top w:val="none" w:sz="0" w:space="0" w:color="auto"/>
            <w:left w:val="none" w:sz="0" w:space="0" w:color="auto"/>
            <w:bottom w:val="none" w:sz="0" w:space="0" w:color="auto"/>
            <w:right w:val="none" w:sz="0" w:space="0" w:color="auto"/>
          </w:divBdr>
          <w:divsChild>
            <w:div w:id="145228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1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ABC</cp:lastModifiedBy>
  <cp:revision>2</cp:revision>
  <dcterms:created xsi:type="dcterms:W3CDTF">2026-05-03T12:28:00Z</dcterms:created>
  <dcterms:modified xsi:type="dcterms:W3CDTF">2026-05-03T12:28:00Z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de6822d1-d913-4178-acee-381f57311263</vt:lpwstr>
  </property>
</Properties>
</file>