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359B6" w14:textId="77777777" w:rsidR="00022A77" w:rsidRPr="00F34E12" w:rsidRDefault="00022A77" w:rsidP="00022A77">
      <w:pPr>
        <w:jc w:val="center"/>
        <w:rPr>
          <w:b/>
          <w:bCs/>
          <w:lang w:val="en-GB"/>
        </w:rPr>
      </w:pPr>
      <w:bookmarkStart w:id="0" w:name="_Hlk227940282"/>
      <w:r w:rsidRPr="00F34E12">
        <w:rPr>
          <w:b/>
          <w:bCs/>
          <w:lang w:val="en-GB"/>
        </w:rPr>
        <w:t xml:space="preserve">                                                                                                                                                                                                                                                                                                                                                                                                                                                                                                                                                                                                                                                                                                                                                                                                                                                                                                                                                                                                                                                                                                                                                                                                                                                                                                                                                                                                                                                                                                                                                                                                                                                                                                                                                                                                                                                                                                                                                                                                                                                                                                                                                                                                                                                                                                                                                                                                                                                                                                                                                                                                                                                                                                                                                                                                                                                                                                                                                                                                                                                                                                                                                                                                                                                                                                                                                                                                                                                                                                                                                                                                                                                                                                                                                                                                                                                                                                                                                                                                                                                                                                                                                                                                                                                                                                                                                                                                                                                                                                                                                                                                                                                                                                                                                                                                                                                                                                                                                                                                                                                                                                                                                                                                                                                                                                                                                                                                                                                                                                                                                                </w:t>
      </w:r>
      <w:bookmarkStart w:id="1" w:name="_Hlk228123682"/>
    </w:p>
    <w:p w14:paraId="37D56466" w14:textId="77777777" w:rsidR="00022A77" w:rsidRPr="00F34E12" w:rsidRDefault="00022A77" w:rsidP="00022A77">
      <w:pPr>
        <w:jc w:val="center"/>
        <w:rPr>
          <w:b/>
          <w:bCs/>
          <w:lang w:val="en-GB"/>
        </w:rPr>
      </w:pPr>
    </w:p>
    <w:p w14:paraId="10796943" w14:textId="77777777" w:rsidR="00022A77" w:rsidRPr="00F34E12" w:rsidRDefault="00022A77" w:rsidP="00022A77">
      <w:pPr>
        <w:jc w:val="center"/>
        <w:rPr>
          <w:b/>
          <w:bCs/>
          <w:lang w:val="en-GB"/>
        </w:rPr>
      </w:pPr>
    </w:p>
    <w:p w14:paraId="1CC7D867" w14:textId="77777777" w:rsidR="00022A77" w:rsidRPr="00F34E12" w:rsidRDefault="00022A77" w:rsidP="00022A77">
      <w:pPr>
        <w:jc w:val="center"/>
        <w:rPr>
          <w:b/>
          <w:bCs/>
          <w:lang w:val="en-GB"/>
        </w:rPr>
      </w:pPr>
    </w:p>
    <w:p w14:paraId="39C5AF93" w14:textId="77777777" w:rsidR="00022A77" w:rsidRPr="00F34E12" w:rsidRDefault="00022A77" w:rsidP="00022A77">
      <w:pPr>
        <w:jc w:val="center"/>
        <w:rPr>
          <w:b/>
          <w:bCs/>
          <w:lang w:val="en-GB"/>
        </w:rPr>
      </w:pPr>
    </w:p>
    <w:p w14:paraId="031B6580" w14:textId="60C3E7A1" w:rsidR="00022A77" w:rsidRPr="0066153E" w:rsidRDefault="00553150" w:rsidP="00022A77">
      <w:pPr>
        <w:jc w:val="center"/>
        <w:rPr>
          <w:b/>
          <w:bCs/>
          <w:lang w:val="en-GB"/>
        </w:rPr>
      </w:pPr>
      <w:r w:rsidRPr="00553150">
        <w:rPr>
          <w:b/>
          <w:bCs/>
          <w:lang w:val="en-GB"/>
        </w:rPr>
        <w:t>Dyslexia in the Classroom: Legislative Impacts and Reading Instruction</w:t>
      </w:r>
    </w:p>
    <w:p w14:paraId="4D11A21C" w14:textId="77777777" w:rsidR="00022A77" w:rsidRPr="0066153E" w:rsidRDefault="00022A77" w:rsidP="00022A77">
      <w:pPr>
        <w:spacing w:line="480" w:lineRule="auto"/>
        <w:jc w:val="center"/>
        <w:rPr>
          <w:lang w:val="en-GB"/>
        </w:rPr>
      </w:pPr>
      <w:r w:rsidRPr="0066153E">
        <w:rPr>
          <w:lang w:val="en-GB"/>
        </w:rPr>
        <w:br/>
        <w:t xml:space="preserve">Name </w:t>
      </w:r>
      <w:r w:rsidRPr="0066153E">
        <w:rPr>
          <w:lang w:val="en-GB"/>
        </w:rPr>
        <w:br/>
        <w:t>[Institution Name]</w:t>
      </w:r>
      <w:r w:rsidRPr="0066153E">
        <w:rPr>
          <w:lang w:val="en-GB"/>
        </w:rPr>
        <w:br/>
        <w:t>[Course Code/Title]</w:t>
      </w:r>
      <w:r w:rsidRPr="0066153E">
        <w:rPr>
          <w:lang w:val="en-GB"/>
        </w:rPr>
        <w:br/>
        <w:t>[Instructor Name]</w:t>
      </w:r>
      <w:r w:rsidRPr="0066153E">
        <w:rPr>
          <w:lang w:val="en-GB"/>
        </w:rPr>
        <w:br/>
        <w:t>[Date]</w:t>
      </w:r>
    </w:p>
    <w:p w14:paraId="3884F85F" w14:textId="77777777" w:rsidR="00022A77" w:rsidRPr="0066153E" w:rsidRDefault="00022A77" w:rsidP="00022A77">
      <w:pPr>
        <w:jc w:val="center"/>
        <w:rPr>
          <w:b/>
          <w:bCs/>
          <w:lang w:val="en-GB"/>
        </w:rPr>
      </w:pPr>
      <w:r w:rsidRPr="0066153E">
        <w:rPr>
          <w:lang w:val="en-GB"/>
        </w:rPr>
        <w:br w:type="page"/>
      </w:r>
    </w:p>
    <w:p w14:paraId="60392A14" w14:textId="1BB05BD1" w:rsidR="00022A77" w:rsidRPr="005C7B26" w:rsidRDefault="00553150" w:rsidP="00022A77">
      <w:pPr>
        <w:jc w:val="center"/>
        <w:rPr>
          <w:b/>
          <w:bCs/>
          <w:lang w:val="en-GB"/>
        </w:rPr>
      </w:pPr>
      <w:r w:rsidRPr="00553150">
        <w:rPr>
          <w:b/>
          <w:bCs/>
          <w:lang w:val="en-GB"/>
        </w:rPr>
        <w:lastRenderedPageBreak/>
        <w:t>Dyslexia in the Classroom: Legislative Impacts and Reading Instruction</w:t>
      </w:r>
    </w:p>
    <w:p w14:paraId="581A4B20" w14:textId="5919BE1B" w:rsidR="00553150" w:rsidRPr="00553150" w:rsidRDefault="00553150" w:rsidP="00553150">
      <w:pPr>
        <w:spacing w:line="480" w:lineRule="auto"/>
        <w:ind w:firstLine="720"/>
        <w:rPr>
          <w:lang w:val="en-GB"/>
        </w:rPr>
      </w:pPr>
      <w:r w:rsidRPr="00553150">
        <w:rPr>
          <w:lang w:val="en-GB"/>
        </w:rPr>
        <w:t xml:space="preserve">Reading instruction in response to the needs of students with dyslexia is mandated in the classroom by local, state and federal </w:t>
      </w:r>
      <w:proofErr w:type="spellStart"/>
      <w:proofErr w:type="gramStart"/>
      <w:r w:rsidRPr="00553150">
        <w:rPr>
          <w:lang w:val="en-GB"/>
        </w:rPr>
        <w:t>legislation.No</w:t>
      </w:r>
      <w:proofErr w:type="spellEnd"/>
      <w:proofErr w:type="gramEnd"/>
      <w:r w:rsidRPr="00553150">
        <w:rPr>
          <w:lang w:val="en-GB"/>
        </w:rPr>
        <w:t xml:space="preserve"> longer can teachers choose to implement or not implement screening and instruction for students with dyslexia; it is now mandated at the state and federal level. In Louisiana, legislation includes Acts 108 and the Louisiana Department of Education's Bulletin 1903. These policies ensure students benefit from "early identification through evidence-based screening and data-informed decision making" (Mather &amp; Wendling, 2024. In particular, Act 108 mandates that all K-3 teachers are trained in the science of reading, impacting teaching practice through the shift from "balanced literacy" to a Structured Literacy approach that is explicit, systematic and cumulative.</w:t>
      </w:r>
    </w:p>
    <w:p w14:paraId="03C0ED29" w14:textId="77777777" w:rsidR="00553150" w:rsidRPr="00553150" w:rsidRDefault="00553150" w:rsidP="00553150">
      <w:pPr>
        <w:spacing w:line="480" w:lineRule="auto"/>
        <w:ind w:firstLine="720"/>
        <w:rPr>
          <w:lang w:val="en-GB"/>
        </w:rPr>
      </w:pPr>
      <w:r w:rsidRPr="00553150">
        <w:rPr>
          <w:lang w:val="en-GB"/>
        </w:rPr>
        <w:t xml:space="preserve">Public Schools and RTI (MTSS) Framework Public schools have a legal and moral obligation to "provide a free, appropriate public education to each qualified child with a disability" (Mather &amp; Wendling, 2024). They do so </w:t>
      </w:r>
      <w:proofErr w:type="gramStart"/>
      <w:r w:rsidRPr="00553150">
        <w:rPr>
          <w:lang w:val="en-GB"/>
        </w:rPr>
        <w:t>using</w:t>
      </w:r>
      <w:proofErr w:type="gramEnd"/>
      <w:r w:rsidRPr="00553150">
        <w:rPr>
          <w:lang w:val="en-GB"/>
        </w:rPr>
        <w:t xml:space="preserve"> the Response to Intervention (RTI) framework, which the authors describe as a "proactive system for supporting students with dyslexia" as opposed to a "wait-to-fail" model (Mather &amp; Wendling, 2024).</w:t>
      </w:r>
    </w:p>
    <w:p w14:paraId="1B56EBE7" w14:textId="77777777" w:rsidR="00553150" w:rsidRPr="00553150" w:rsidRDefault="00553150" w:rsidP="00553150">
      <w:pPr>
        <w:spacing w:line="480" w:lineRule="auto"/>
        <w:ind w:firstLine="720"/>
        <w:rPr>
          <w:lang w:val="en-GB"/>
        </w:rPr>
      </w:pPr>
      <w:r w:rsidRPr="00553150">
        <w:rPr>
          <w:lang w:val="en-GB"/>
        </w:rPr>
        <w:t>Here, Tier 1 is high-quality core instruction for all students. Tier 2 involves "targeted, small-group interventions for those not making adequate progress; and Tier 3 involves the most intensive, "individualized, highly concentrated instruction" (Mather &amp; Wendling, 2024). Through tiers, schools meet the requirement of Bulletin 1903 that "instructional decisions align with assessment data and student needs" (Mather &amp; Wendling, 2024).</w:t>
      </w:r>
    </w:p>
    <w:p w14:paraId="70A4C49F" w14:textId="77777777" w:rsidR="00553150" w:rsidRPr="00553150" w:rsidRDefault="00553150" w:rsidP="00553150">
      <w:pPr>
        <w:spacing w:line="480" w:lineRule="auto"/>
        <w:ind w:firstLine="720"/>
        <w:rPr>
          <w:lang w:val="en-GB"/>
        </w:rPr>
      </w:pPr>
      <w:r w:rsidRPr="00553150">
        <w:rPr>
          <w:lang w:val="en-GB"/>
        </w:rPr>
        <w:t xml:space="preserve">Identifying Dyslexia </w:t>
      </w:r>
      <w:proofErr w:type="spellStart"/>
      <w:r w:rsidRPr="00553150">
        <w:rPr>
          <w:lang w:val="en-GB"/>
        </w:rPr>
        <w:t>Dyslexia</w:t>
      </w:r>
      <w:proofErr w:type="spellEnd"/>
      <w:r w:rsidRPr="00553150">
        <w:rPr>
          <w:lang w:val="en-GB"/>
        </w:rPr>
        <w:t xml:space="preserve"> is diagnosed by a holistic assessment. This includes linguistic skills: "phonological processing is the most common cause of difficulty"; reading/spelling skills: "inaccurate or slow word recognition"; as well as "cognitive and academic strengths" (Mather &amp; Wendling, 2024). Importantly, the assessment also needs to </w:t>
      </w:r>
      <w:r w:rsidRPr="00553150">
        <w:rPr>
          <w:lang w:val="en-GB"/>
        </w:rPr>
        <w:lastRenderedPageBreak/>
        <w:t>identify "cognitive and academic strengths" so that teachers can capitalise on the child's strengths (Mather &amp; Wendling, 2024).</w:t>
      </w:r>
    </w:p>
    <w:p w14:paraId="7C180171" w14:textId="77777777" w:rsidR="00553150" w:rsidRPr="00553150" w:rsidRDefault="00553150" w:rsidP="00553150">
      <w:pPr>
        <w:spacing w:line="480" w:lineRule="auto"/>
        <w:ind w:firstLine="720"/>
        <w:rPr>
          <w:lang w:val="en-GB"/>
        </w:rPr>
      </w:pPr>
      <w:r w:rsidRPr="00553150">
        <w:rPr>
          <w:lang w:val="en-GB"/>
        </w:rPr>
        <w:t>A nuanced evaluation is critical for special learners. For twice-exceptional (gifted and dyslexic) students, their advanced abilities can "mask their reading difficulties" and cause them to be "average" in a classroom when they feel like they are failing (Mather &amp; Wendling, 2024). In contrast for English Learners (ELs), teachers must take care to look for "reading difficulties that are not primarily the result of language difference factors" but a neurobiological difference (Mather &amp; Wendling, 2024).</w:t>
      </w:r>
    </w:p>
    <w:p w14:paraId="3FFC4BA7" w14:textId="77777777" w:rsidR="00553150" w:rsidRPr="00553150" w:rsidRDefault="00553150" w:rsidP="00553150">
      <w:pPr>
        <w:spacing w:line="480" w:lineRule="auto"/>
        <w:ind w:firstLine="720"/>
        <w:rPr>
          <w:lang w:val="en-GB"/>
        </w:rPr>
      </w:pPr>
      <w:r w:rsidRPr="00553150">
        <w:rPr>
          <w:lang w:val="en-GB"/>
        </w:rPr>
        <w:t>Accommodations vs. Modifications For these children to thrive, schools need to understand the difference between two types of support. Accommodations alter how a student learns, such as through the use of "audiobooks or extended time on tests" without changing game-level expectations (Mather &amp; Wendling, 2024). Modifications "change the curriculum itself" (for example, requiring fewer number of words to learn) (Mather &amp; Wendling, 2024). Schools rely on accommodations to allow access to the grade-level curriculum and modifications when the student's knowledge is much lower than the national or state standard.</w:t>
      </w:r>
    </w:p>
    <w:p w14:paraId="6A1F0C41" w14:textId="77777777" w:rsidR="00553150" w:rsidRPr="00910949" w:rsidRDefault="00553150" w:rsidP="00910949">
      <w:pPr>
        <w:spacing w:line="480" w:lineRule="auto"/>
        <w:rPr>
          <w:b/>
          <w:bCs/>
          <w:lang w:val="en-GB"/>
        </w:rPr>
      </w:pPr>
      <w:r w:rsidRPr="00910949">
        <w:rPr>
          <w:b/>
          <w:bCs/>
          <w:lang w:val="en-GB"/>
        </w:rPr>
        <w:t>Course Application and Reflection</w:t>
      </w:r>
    </w:p>
    <w:p w14:paraId="0FB80720" w14:textId="77777777" w:rsidR="00910949" w:rsidRDefault="00553150" w:rsidP="00910949">
      <w:pPr>
        <w:spacing w:line="480" w:lineRule="auto"/>
        <w:ind w:firstLine="720"/>
        <w:rPr>
          <w:lang w:val="en-GB"/>
        </w:rPr>
      </w:pPr>
      <w:r w:rsidRPr="00553150">
        <w:rPr>
          <w:lang w:val="en-GB"/>
        </w:rPr>
        <w:t>In my practice, I will use the knowledge attained from this course so that every lesson I plan is based on a "multisensory and systematic sequencing" (Mather &amp; Wendling, 2024). When I teach phoneme-grapheme correspondence, I will also use morphology and etymology to support students to develop the "orthographic mapping" that is needed for long-term memory and fluent recognition. I will base my teaching decisions on the RTI data, making my practice more than theoretical, grounded in the ongoing literacy skills of my students</w:t>
      </w:r>
    </w:p>
    <w:p w14:paraId="786CA7EA" w14:textId="77777777" w:rsidR="00910949" w:rsidRDefault="00910949" w:rsidP="00910949">
      <w:pPr>
        <w:spacing w:line="480" w:lineRule="auto"/>
        <w:rPr>
          <w:lang w:val="en-GB"/>
        </w:rPr>
      </w:pPr>
    </w:p>
    <w:p w14:paraId="4D2FE04C" w14:textId="7B72B0BE" w:rsidR="00022A77" w:rsidRDefault="00022A77" w:rsidP="00910949">
      <w:pPr>
        <w:spacing w:line="480" w:lineRule="auto"/>
        <w:jc w:val="center"/>
        <w:rPr>
          <w:b/>
          <w:bCs/>
          <w:lang w:val="en-GB"/>
        </w:rPr>
      </w:pPr>
      <w:r w:rsidRPr="00C7409F">
        <w:rPr>
          <w:b/>
          <w:bCs/>
          <w:lang w:val="en-GB"/>
        </w:rPr>
        <w:lastRenderedPageBreak/>
        <w:t>References</w:t>
      </w:r>
    </w:p>
    <w:p w14:paraId="0FAA3E89" w14:textId="77777777" w:rsidR="00910949" w:rsidRDefault="00910949" w:rsidP="00910949">
      <w:pPr>
        <w:spacing w:line="480" w:lineRule="auto"/>
        <w:ind w:left="720" w:hanging="720"/>
        <w:contextualSpacing/>
      </w:pPr>
      <w:r>
        <w:t xml:space="preserve">Louisiana Department of Education. (2021). </w:t>
      </w:r>
      <w:r>
        <w:rPr>
          <w:i/>
          <w:iCs/>
        </w:rPr>
        <w:t>Bulletin 1903: Louisiana Handbook for Students with Dyslexia</w:t>
      </w:r>
      <w:r>
        <w:t>.</w:t>
      </w:r>
    </w:p>
    <w:p w14:paraId="79F36939" w14:textId="6F78FDB7" w:rsidR="00910949" w:rsidRPr="00910949" w:rsidRDefault="00910949" w:rsidP="00910949">
      <w:pPr>
        <w:spacing w:line="480" w:lineRule="auto"/>
        <w:ind w:left="720" w:hanging="720"/>
        <w:contextualSpacing/>
        <w:rPr>
          <w:lang w:val="en-GB"/>
        </w:rPr>
      </w:pPr>
      <w:r>
        <w:t xml:space="preserve"> Mather, N., &amp; Wendling, B. J. (2024). </w:t>
      </w:r>
      <w:r>
        <w:rPr>
          <w:i/>
          <w:iCs/>
        </w:rPr>
        <w:t>Essentials of Dyslexia Assessment and Intervention</w:t>
      </w:r>
      <w:r>
        <w:t>. John Wiley &amp; Sons.</w:t>
      </w:r>
      <w:bookmarkStart w:id="2" w:name="_GoBack"/>
      <w:bookmarkEnd w:id="2"/>
    </w:p>
    <w:p w14:paraId="04B9A479" w14:textId="77777777" w:rsidR="00022A77" w:rsidRPr="00C7409F" w:rsidRDefault="00022A77" w:rsidP="00022A77">
      <w:pPr>
        <w:ind w:firstLine="720"/>
        <w:rPr>
          <w:b/>
          <w:bCs/>
          <w:lang w:val="en-GB"/>
        </w:rPr>
      </w:pPr>
    </w:p>
    <w:p w14:paraId="60E7689B" w14:textId="77777777" w:rsidR="00022A77" w:rsidRPr="00F34E12" w:rsidRDefault="00022A77" w:rsidP="00022A77"/>
    <w:p w14:paraId="28A4FA6C" w14:textId="77777777" w:rsidR="00022A77" w:rsidRDefault="00022A77" w:rsidP="00022A77"/>
    <w:bookmarkEnd w:id="1"/>
    <w:p w14:paraId="5C27BB3A" w14:textId="77777777" w:rsidR="00022A77" w:rsidRDefault="00022A77" w:rsidP="00022A77"/>
    <w:p w14:paraId="0799E63A" w14:textId="77777777" w:rsidR="00022A77" w:rsidRDefault="00022A77" w:rsidP="00022A77">
      <w:pPr>
        <w:ind w:firstLine="720"/>
        <w:rPr>
          <w:lang w:val="en-GB"/>
        </w:rPr>
      </w:pPr>
    </w:p>
    <w:p w14:paraId="3621E0B7" w14:textId="77777777" w:rsidR="00022A77" w:rsidRDefault="00022A77" w:rsidP="00022A77">
      <w:pPr>
        <w:ind w:firstLine="720"/>
        <w:rPr>
          <w:lang w:val="en-GB"/>
        </w:rPr>
      </w:pPr>
    </w:p>
    <w:p w14:paraId="4CB6954F" w14:textId="77777777" w:rsidR="00022A77" w:rsidRDefault="00022A77" w:rsidP="00022A77">
      <w:pPr>
        <w:ind w:firstLine="720"/>
        <w:rPr>
          <w:lang w:val="en-GB"/>
        </w:rPr>
      </w:pPr>
    </w:p>
    <w:p w14:paraId="138AE6D2" w14:textId="77777777" w:rsidR="00022A77" w:rsidRDefault="00022A77" w:rsidP="00022A77">
      <w:pPr>
        <w:ind w:firstLine="720"/>
        <w:rPr>
          <w:lang w:val="en-GB"/>
        </w:rPr>
      </w:pPr>
    </w:p>
    <w:p w14:paraId="52C5C813" w14:textId="77777777" w:rsidR="00022A77" w:rsidRDefault="00022A77" w:rsidP="00022A77">
      <w:pPr>
        <w:ind w:firstLine="720"/>
        <w:rPr>
          <w:lang w:val="en-GB"/>
        </w:rPr>
      </w:pPr>
    </w:p>
    <w:p w14:paraId="08996D2D" w14:textId="77777777" w:rsidR="00022A77" w:rsidRDefault="00022A77" w:rsidP="00022A77">
      <w:pPr>
        <w:ind w:firstLine="720"/>
        <w:rPr>
          <w:lang w:val="en-GB"/>
        </w:rPr>
      </w:pPr>
    </w:p>
    <w:p w14:paraId="00FE1CE3" w14:textId="77777777" w:rsidR="00022A77" w:rsidRDefault="00022A77" w:rsidP="00022A77">
      <w:pPr>
        <w:ind w:firstLine="720"/>
        <w:rPr>
          <w:lang w:val="en-GB"/>
        </w:rPr>
      </w:pPr>
    </w:p>
    <w:p w14:paraId="2FA6D328" w14:textId="77777777" w:rsidR="00022A77" w:rsidRDefault="00022A77" w:rsidP="00022A77">
      <w:pPr>
        <w:ind w:firstLine="720"/>
        <w:rPr>
          <w:lang w:val="en-GB"/>
        </w:rPr>
      </w:pPr>
    </w:p>
    <w:p w14:paraId="2DFF8332" w14:textId="77777777" w:rsidR="00022A77" w:rsidRDefault="00022A77" w:rsidP="00022A77">
      <w:pPr>
        <w:ind w:firstLine="720"/>
        <w:rPr>
          <w:lang w:val="en-GB"/>
        </w:rPr>
      </w:pPr>
    </w:p>
    <w:p w14:paraId="3E58D617" w14:textId="77777777" w:rsidR="00022A77" w:rsidRDefault="00022A77" w:rsidP="00022A77">
      <w:pPr>
        <w:ind w:firstLine="720"/>
        <w:rPr>
          <w:lang w:val="en-GB"/>
        </w:rPr>
      </w:pPr>
    </w:p>
    <w:p w14:paraId="711A0609" w14:textId="77777777" w:rsidR="00022A77" w:rsidRDefault="00022A77" w:rsidP="00022A77">
      <w:pPr>
        <w:ind w:firstLine="720"/>
        <w:rPr>
          <w:lang w:val="en-GB"/>
        </w:rPr>
      </w:pPr>
    </w:p>
    <w:bookmarkEnd w:id="0"/>
    <w:p w14:paraId="73D264AB" w14:textId="77777777" w:rsidR="00022A77" w:rsidRDefault="00022A77" w:rsidP="00022A77"/>
    <w:p w14:paraId="696CF2D3" w14:textId="77777777" w:rsidR="00022A77" w:rsidRDefault="00022A77" w:rsidP="00022A77"/>
    <w:p w14:paraId="13AC687D" w14:textId="77777777" w:rsidR="008640E8" w:rsidRDefault="008640E8"/>
    <w:sectPr w:rsidR="00864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8D"/>
    <w:rsid w:val="00022A77"/>
    <w:rsid w:val="00553150"/>
    <w:rsid w:val="008640E8"/>
    <w:rsid w:val="00910949"/>
    <w:rsid w:val="00B2548D"/>
    <w:rsid w:val="00D36DD8"/>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7338"/>
  <w15:chartTrackingRefBased/>
  <w15:docId w15:val="{99D6F342-139B-47E3-BEFC-397D6BAA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B2548D"/>
    <w:pPr>
      <w:spacing w:before="100" w:beforeAutospacing="1" w:after="100" w:afterAutospacing="1" w:line="240" w:lineRule="auto"/>
      <w:outlineLvl w:val="2"/>
    </w:pPr>
    <w:rPr>
      <w:rFonts w:eastAsia="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548D"/>
    <w:rPr>
      <w:rFonts w:eastAsia="Times New Roman"/>
      <w:b/>
      <w:bCs/>
      <w:sz w:val="27"/>
      <w:szCs w:val="27"/>
      <w:lang w:val="en-PK" w:eastAsia="en-PK"/>
    </w:rPr>
  </w:style>
  <w:style w:type="paragraph" w:styleId="NormalWeb">
    <w:name w:val="Normal (Web)"/>
    <w:basedOn w:val="Normal"/>
    <w:uiPriority w:val="99"/>
    <w:unhideWhenUsed/>
    <w:rsid w:val="00B2548D"/>
    <w:pPr>
      <w:spacing w:before="100" w:beforeAutospacing="1" w:after="100" w:afterAutospacing="1" w:line="240" w:lineRule="auto"/>
    </w:pPr>
    <w:rPr>
      <w:rFonts w:eastAsia="Times New Roman"/>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21732">
      <w:bodyDiv w:val="1"/>
      <w:marLeft w:val="0"/>
      <w:marRight w:val="0"/>
      <w:marTop w:val="0"/>
      <w:marBottom w:val="0"/>
      <w:divBdr>
        <w:top w:val="none" w:sz="0" w:space="0" w:color="auto"/>
        <w:left w:val="none" w:sz="0" w:space="0" w:color="auto"/>
        <w:bottom w:val="none" w:sz="0" w:space="0" w:color="auto"/>
        <w:right w:val="none" w:sz="0" w:space="0" w:color="auto"/>
      </w:divBdr>
    </w:div>
    <w:div w:id="207469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2026-04-26T12:21:00Z</dcterms:created>
  <dcterms:modified xsi:type="dcterms:W3CDTF">2026-04-26T14:56:00Z</dcterms:modified>
</cp:coreProperties>
</file>