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1ED" w:rsidRPr="006D11CB" w:rsidRDefault="000A507A" w:rsidP="00D96030">
      <w:pPr>
        <w:spacing w:after="0" w:line="480" w:lineRule="auto"/>
        <w:jc w:val="center"/>
        <w:outlineLvl w:val="2"/>
        <w:rPr>
          <w:rFonts w:ascii="Times New Roman" w:eastAsia="Times New Roman" w:hAnsi="Times New Roman" w:cs="Times New Roman"/>
          <w:b/>
          <w:bCs/>
          <w:sz w:val="24"/>
          <w:szCs w:val="24"/>
        </w:rPr>
      </w:pPr>
      <w:r w:rsidRPr="006D11CB">
        <w:rPr>
          <w:rFonts w:ascii="Times New Roman" w:eastAsia="Times New Roman" w:hAnsi="Times New Roman" w:cs="Times New Roman"/>
          <w:b/>
          <w:bCs/>
          <w:sz w:val="24"/>
          <w:szCs w:val="24"/>
        </w:rPr>
        <w:t>SLIDE 1: Title Slide</w:t>
      </w:r>
    </w:p>
    <w:p w:rsidR="0070743E" w:rsidRPr="006D11CB" w:rsidRDefault="000A507A" w:rsidP="00D96030">
      <w:pPr>
        <w:spacing w:after="0" w:line="480" w:lineRule="auto"/>
        <w:jc w:val="center"/>
        <w:rPr>
          <w:rFonts w:ascii="Times New Roman" w:eastAsia="Times New Roman" w:hAnsi="Times New Roman" w:cs="Times New Roman"/>
          <w:sz w:val="24"/>
          <w:szCs w:val="24"/>
        </w:rPr>
      </w:pPr>
      <w:r w:rsidRPr="006D11CB">
        <w:rPr>
          <w:rFonts w:ascii="Times New Roman" w:eastAsia="Times New Roman" w:hAnsi="Times New Roman" w:cs="Times New Roman"/>
          <w:b/>
          <w:bCs/>
          <w:sz w:val="24"/>
          <w:szCs w:val="24"/>
        </w:rPr>
        <w:t>Left Behind While Moving Forward: Exploring the Impact of Grade Level Promotion on Chronically Failing Students in Urban Schools</w:t>
      </w:r>
    </w:p>
    <w:p w:rsidR="000E0CCC" w:rsidRPr="006D11CB" w:rsidRDefault="000A507A" w:rsidP="00D96030">
      <w:pPr>
        <w:pStyle w:val="Heading2"/>
        <w:spacing w:before="0" w:line="480" w:lineRule="auto"/>
        <w:jc w:val="center"/>
        <w:rPr>
          <w:rFonts w:ascii="Times New Roman" w:hAnsi="Times New Roman" w:cs="Times New Roman"/>
          <w:color w:val="auto"/>
          <w:sz w:val="24"/>
          <w:szCs w:val="24"/>
        </w:rPr>
      </w:pPr>
      <w:r w:rsidRPr="006D11CB">
        <w:rPr>
          <w:rStyle w:val="Strong"/>
          <w:rFonts w:ascii="Times New Roman" w:hAnsi="Times New Roman" w:cs="Times New Roman"/>
          <w:bCs w:val="0"/>
          <w:color w:val="auto"/>
          <w:sz w:val="24"/>
          <w:szCs w:val="24"/>
        </w:rPr>
        <w:t>SLIDE 2 — Introduction and Background</w:t>
      </w:r>
    </w:p>
    <w:p w:rsidR="00DE1517" w:rsidRPr="006D11CB" w:rsidRDefault="000A507A" w:rsidP="00DE1517">
      <w:pPr>
        <w:pStyle w:val="NormalWeb"/>
        <w:spacing w:before="0" w:beforeAutospacing="0" w:after="0" w:afterAutospacing="0" w:line="480" w:lineRule="auto"/>
      </w:pPr>
      <w:r w:rsidRPr="00CC6DD1">
        <w:t>This study looks at a common problem in urban schools. Students are</w:t>
      </w:r>
      <w:r w:rsidRPr="00CC6DD1">
        <w:t xml:space="preserve"> being promoted consistently as they continue to fail important subjects. In the long run, this results in a greater learning disparity and also in emotional strains. The struggle cannot be solved, but can be covered by promotion. Students can begin to thi</w:t>
      </w:r>
      <w:r w:rsidRPr="00CC6DD1">
        <w:t>nk that failure is a part of their personality and can check out. For example, a student who still struggles with basic reading is promoted, then faces harder texts and stops raising their hand because they feel embarrassed. In urban middle schools, the re</w:t>
      </w:r>
      <w:r w:rsidRPr="00CC6DD1">
        <w:t>sources are not as abundant, and staff members are not always able to provide individual support (López et al., 2021). In such environments, promotion as a policy might replace the learning strategy (Resende &amp; Petterini, 2021). That is why the problem need</w:t>
      </w:r>
      <w:r w:rsidRPr="00CC6DD1">
        <w:t>s to be researched. This study took place in a single urban middle school of a socioeconomically disadvantaged district. The aim is to get more enlightenment about the academic and emotional effects of promotion, to enable schools to b</w:t>
      </w:r>
      <w:r>
        <w:t>e more responsive and</w:t>
      </w:r>
      <w:r>
        <w:t xml:space="preserve"> realistic</w:t>
      </w:r>
      <w:r w:rsidRPr="00DE1517">
        <w:t>.</w:t>
      </w:r>
    </w:p>
    <w:p w:rsidR="000E0CCC" w:rsidRPr="006D11CB" w:rsidRDefault="000A507A" w:rsidP="00D96030">
      <w:pPr>
        <w:pStyle w:val="Heading2"/>
        <w:spacing w:before="0" w:line="480" w:lineRule="auto"/>
        <w:jc w:val="center"/>
        <w:rPr>
          <w:rFonts w:ascii="Times New Roman" w:hAnsi="Times New Roman" w:cs="Times New Roman"/>
          <w:color w:val="auto"/>
          <w:sz w:val="24"/>
          <w:szCs w:val="24"/>
        </w:rPr>
      </w:pPr>
      <w:r w:rsidRPr="006D11CB">
        <w:rPr>
          <w:rStyle w:val="Strong"/>
          <w:rFonts w:ascii="Times New Roman" w:hAnsi="Times New Roman" w:cs="Times New Roman"/>
          <w:bCs w:val="0"/>
          <w:color w:val="auto"/>
          <w:sz w:val="24"/>
          <w:szCs w:val="24"/>
        </w:rPr>
        <w:t>SLIDE 3 — Core Constructs and Research Approach</w:t>
      </w:r>
    </w:p>
    <w:p w:rsidR="002A5A9D" w:rsidRDefault="000A507A" w:rsidP="000A507A">
      <w:pPr>
        <w:pStyle w:val="NormalWeb"/>
        <w:spacing w:before="0" w:beforeAutospacing="0" w:after="0" w:afterAutospacing="0" w:line="480" w:lineRule="auto"/>
      </w:pPr>
      <w:r>
        <w:t>This slide</w:t>
      </w:r>
      <w:r w:rsidRPr="00CC6DD1">
        <w:t xml:space="preserve"> describes the main concepts of the study. Two key concepts are described in this slide. The first is chronic academic failure. There are also some students who continue to fail major su</w:t>
      </w:r>
      <w:r w:rsidRPr="00CC6DD1">
        <w:t>bjects, yet they are promoted to the next grade. This usually occurs due to problems with the school system, as opposed to students not trying. Cartwright and colleagues (2023) argue that repeated failure can be caused by barriers such as big classes, inad</w:t>
      </w:r>
      <w:r w:rsidRPr="00CC6DD1">
        <w:t xml:space="preserve">equate support programs, and lessons that are not aligned with the students' needs. The second concept is teacher boundaries </w:t>
      </w:r>
      <w:r w:rsidRPr="00CC6DD1">
        <w:lastRenderedPageBreak/>
        <w:t>and learner identity. A student may be known to be not ready by the teachers and school counselors, but it is mandatory to adhere t</w:t>
      </w:r>
      <w:r w:rsidRPr="00CC6DD1">
        <w:t>o district regulations. Bitarafan and colleagues (2024) explain how a push of the policy can hinder staff in performing what they consider to be the best. Examples include a teacher desiring tutoring or more time before being promoted, yet the student is p</w:t>
      </w:r>
      <w:r w:rsidRPr="00CC6DD1">
        <w:t>romoted. In the long run, according to Zhang and Huang (2022), this may damage confidence and lead to the students feeling incapable of learning. This makes the action research of the study qualitative in order to listen to actual experience</w:t>
      </w:r>
    </w:p>
    <w:p w:rsidR="000E0CCC" w:rsidRPr="006D11CB" w:rsidRDefault="000A507A" w:rsidP="00D96030">
      <w:pPr>
        <w:pStyle w:val="Heading2"/>
        <w:spacing w:before="0" w:line="480" w:lineRule="auto"/>
        <w:jc w:val="center"/>
        <w:rPr>
          <w:rFonts w:ascii="Times New Roman" w:hAnsi="Times New Roman" w:cs="Times New Roman"/>
          <w:color w:val="auto"/>
          <w:sz w:val="24"/>
          <w:szCs w:val="24"/>
        </w:rPr>
      </w:pPr>
      <w:r w:rsidRPr="006D11CB">
        <w:rPr>
          <w:rStyle w:val="Strong"/>
          <w:rFonts w:ascii="Times New Roman" w:hAnsi="Times New Roman" w:cs="Times New Roman"/>
          <w:bCs w:val="0"/>
          <w:color w:val="auto"/>
          <w:sz w:val="24"/>
          <w:szCs w:val="24"/>
        </w:rPr>
        <w:t>S</w:t>
      </w:r>
      <w:r>
        <w:rPr>
          <w:rStyle w:val="Strong"/>
          <w:rFonts w:ascii="Times New Roman" w:hAnsi="Times New Roman" w:cs="Times New Roman"/>
          <w:bCs w:val="0"/>
          <w:color w:val="auto"/>
          <w:sz w:val="24"/>
          <w:szCs w:val="24"/>
        </w:rPr>
        <w:t xml:space="preserve">LIDE 4- </w:t>
      </w:r>
      <w:r w:rsidRPr="006D11CB">
        <w:rPr>
          <w:rStyle w:val="Strong"/>
          <w:rFonts w:ascii="Times New Roman" w:hAnsi="Times New Roman" w:cs="Times New Roman"/>
          <w:bCs w:val="0"/>
          <w:color w:val="auto"/>
          <w:sz w:val="24"/>
          <w:szCs w:val="24"/>
        </w:rPr>
        <w:t>Re</w:t>
      </w:r>
      <w:r w:rsidRPr="006D11CB">
        <w:rPr>
          <w:rStyle w:val="Strong"/>
          <w:rFonts w:ascii="Times New Roman" w:hAnsi="Times New Roman" w:cs="Times New Roman"/>
          <w:bCs w:val="0"/>
          <w:color w:val="auto"/>
          <w:sz w:val="24"/>
          <w:szCs w:val="24"/>
        </w:rPr>
        <w:t>search Questions</w:t>
      </w:r>
    </w:p>
    <w:p w:rsidR="000E0CCC" w:rsidRPr="000A507A" w:rsidRDefault="000A507A" w:rsidP="000A507A">
      <w:pPr>
        <w:pStyle w:val="NormalWeb"/>
        <w:spacing w:before="0" w:beforeAutospacing="0" w:after="0" w:afterAutospacing="0" w:line="480" w:lineRule="auto"/>
        <w:rPr>
          <w:highlight w:val="yellow"/>
        </w:rPr>
      </w:pPr>
      <w:r w:rsidRPr="00CC6DD1">
        <w:t>This slide outlines three research questions that will be used to conduct the research. In the first part, the question is what life was like for those students in their Grade 6-8 who continue to fail but are promoted anyway. It examines s</w:t>
      </w:r>
      <w:r w:rsidRPr="00CC6DD1">
        <w:t xml:space="preserve">chool learning, feelings and how the students cope with gaps as they progress through grades. The second question inquires about how teachers and school counselors feel about social promotion and its influence on learning and motivation. It pays attention </w:t>
      </w:r>
      <w:r w:rsidRPr="00CC6DD1">
        <w:t>to what they observe with respect to readiness, effort and class involvement, and what (support) is lacking. The third question is what the impact of promotion on student engagement and subsequent achievement is. In plain language, we enquire of the studen</w:t>
      </w:r>
      <w:r w:rsidRPr="00CC6DD1">
        <w:t>ts what they pass through, of the teachers what they observe and of what occurs with the passage of time. For example, when a student is promoted with a problem with reading, we want to know how it impacts the participation at present and performance in th</w:t>
      </w:r>
      <w:r w:rsidRPr="00CC6DD1">
        <w:t>e future. These questions as</w:t>
      </w:r>
      <w:r>
        <w:t xml:space="preserve">sist in creating a </w:t>
      </w:r>
      <w:r w:rsidR="00444D98" w:rsidRPr="000A507A">
        <w:t>definite image of the problem.</w:t>
      </w:r>
    </w:p>
    <w:p w:rsidR="000E0CCC" w:rsidRPr="002D7582" w:rsidRDefault="00444D98" w:rsidP="00D96030">
      <w:pPr>
        <w:pStyle w:val="Heading2"/>
        <w:spacing w:before="0" w:line="480" w:lineRule="auto"/>
        <w:jc w:val="center"/>
        <w:rPr>
          <w:rFonts w:ascii="Times New Roman" w:hAnsi="Times New Roman" w:cs="Times New Roman"/>
          <w:color w:val="auto"/>
          <w:sz w:val="24"/>
          <w:szCs w:val="24"/>
        </w:rPr>
      </w:pPr>
      <w:r w:rsidRPr="00444D98">
        <w:rPr>
          <w:rFonts w:ascii="Times New Roman" w:hAnsi="Times New Roman" w:cs="Times New Roman"/>
          <w:b/>
          <w:color w:val="auto"/>
          <w:sz w:val="24"/>
          <w:szCs w:val="24"/>
        </w:rPr>
        <w:t>S</w:t>
      </w:r>
      <w:r w:rsidR="000A507A">
        <w:rPr>
          <w:rFonts w:ascii="Times New Roman" w:hAnsi="Times New Roman" w:cs="Times New Roman"/>
          <w:b/>
          <w:color w:val="auto"/>
          <w:sz w:val="24"/>
          <w:szCs w:val="24"/>
        </w:rPr>
        <w:t>LIDE 5-</w:t>
      </w:r>
      <w:r w:rsidRPr="00444D98">
        <w:rPr>
          <w:rFonts w:ascii="Times New Roman" w:hAnsi="Times New Roman" w:cs="Times New Roman"/>
          <w:b/>
          <w:color w:val="auto"/>
          <w:sz w:val="24"/>
          <w:szCs w:val="24"/>
        </w:rPr>
        <w:t xml:space="preserve"> </w:t>
      </w:r>
      <w:r w:rsidR="00F41304">
        <w:rPr>
          <w:rFonts w:ascii="Times New Roman" w:hAnsi="Times New Roman" w:cs="Times New Roman"/>
          <w:b/>
          <w:color w:val="auto"/>
          <w:sz w:val="24"/>
          <w:szCs w:val="24"/>
        </w:rPr>
        <w:t>S</w:t>
      </w:r>
      <w:r w:rsidRPr="00444D98">
        <w:rPr>
          <w:rFonts w:ascii="Times New Roman" w:hAnsi="Times New Roman" w:cs="Times New Roman"/>
          <w:b/>
          <w:color w:val="auto"/>
          <w:sz w:val="24"/>
          <w:szCs w:val="24"/>
        </w:rPr>
        <w:t xml:space="preserve">tudent Impact and </w:t>
      </w:r>
      <w:r w:rsidR="00F41304">
        <w:rPr>
          <w:rFonts w:ascii="Times New Roman" w:hAnsi="Times New Roman" w:cs="Times New Roman"/>
          <w:b/>
          <w:color w:val="auto"/>
          <w:sz w:val="24"/>
          <w:szCs w:val="24"/>
        </w:rPr>
        <w:t>E</w:t>
      </w:r>
      <w:r w:rsidRPr="00444D98">
        <w:rPr>
          <w:rFonts w:ascii="Times New Roman" w:hAnsi="Times New Roman" w:cs="Times New Roman"/>
          <w:b/>
          <w:color w:val="auto"/>
          <w:sz w:val="24"/>
          <w:szCs w:val="24"/>
        </w:rPr>
        <w:t xml:space="preserve">ducator </w:t>
      </w:r>
      <w:r w:rsidR="00F41304">
        <w:rPr>
          <w:rFonts w:ascii="Times New Roman" w:hAnsi="Times New Roman" w:cs="Times New Roman"/>
          <w:b/>
          <w:color w:val="auto"/>
          <w:sz w:val="24"/>
          <w:szCs w:val="24"/>
        </w:rPr>
        <w:t>R</w:t>
      </w:r>
      <w:r w:rsidRPr="00444D98">
        <w:rPr>
          <w:rFonts w:ascii="Times New Roman" w:hAnsi="Times New Roman" w:cs="Times New Roman"/>
          <w:b/>
          <w:color w:val="auto"/>
          <w:sz w:val="24"/>
          <w:szCs w:val="24"/>
        </w:rPr>
        <w:t>esponses</w:t>
      </w:r>
    </w:p>
    <w:p w:rsidR="00F41304" w:rsidRPr="00F41304" w:rsidRDefault="000A507A" w:rsidP="00F41304">
      <w:pPr>
        <w:pStyle w:val="NormalWeb"/>
        <w:spacing w:before="0" w:beforeAutospacing="0" w:after="0" w:afterAutospacing="0" w:line="480" w:lineRule="auto"/>
      </w:pPr>
      <w:r w:rsidRPr="00F41304">
        <w:t>This slide describes the impact of students and school responses as indicated by research. Numerous urban schools experience these</w:t>
      </w:r>
      <w:r w:rsidRPr="00F41304">
        <w:t xml:space="preserve"> hurdles. They can be underfunded, understaffed, and </w:t>
      </w:r>
      <w:r w:rsidRPr="00F41304">
        <w:lastRenderedPageBreak/>
        <w:t xml:space="preserve">overcrowded (Lopez et al., 2021). It is difficult to provide each student with the appropriate support due to this. According to Christopher and Nesbitt (2022), restricted intervention can lead to a gap </w:t>
      </w:r>
      <w:r w:rsidRPr="00F41304">
        <w:t xml:space="preserve">in learning in the long run. The retention vs. promotion debate is also a confusing one. Goos et al. (2021) indicate that retention may cause damage to self-esteem and raise the chances of dropout. However, encouraging students without assistance may also </w:t>
      </w:r>
      <w:r w:rsidRPr="00F41304">
        <w:t>be detrimental. This is linked with anxiety, especially when students are not able to uphold (Zhang &amp; Huang, 2022). Beck et al.  (2024) associate chronic failure with stress and school absence. According to Sousa et al. (2025), confusion and poor self-este</w:t>
      </w:r>
      <w:r w:rsidRPr="00F41304">
        <w:t>em are manifested in instances where students are advanced without having mastery. As an example, a student can give up attempting in the classroom due to the impossibility of the work. Such strain is likely to result in reduced cooperation in the classroo</w:t>
      </w:r>
      <w:r w:rsidRPr="00F41304">
        <w:t>m. According to Sousa et al. (2025), students usually become embarrassed and disoriented. These feelings demotivate and hinder identity as learners.</w:t>
      </w:r>
    </w:p>
    <w:p w:rsidR="00F41304" w:rsidRPr="00F41304" w:rsidRDefault="000A507A" w:rsidP="00F41304">
      <w:pPr>
        <w:pStyle w:val="NormalWeb"/>
        <w:spacing w:before="0" w:beforeAutospacing="0" w:after="0" w:afterAutospacing="0" w:line="480" w:lineRule="auto"/>
      </w:pPr>
      <w:r w:rsidRPr="00F41304">
        <w:t>For example, imagine a classroom with one teacher and 30 students, with no full-time reading interventionis</w:t>
      </w:r>
      <w:r w:rsidRPr="00F41304">
        <w:t xml:space="preserve">t. Here, a student who failed to grasp the basics of phonics or comprehension in previous grades might not get the additional assistance needed to catch up. If such a student is held back, they might feel embarrassed to be older than another student. When </w:t>
      </w:r>
      <w:r w:rsidRPr="00F41304">
        <w:t>that child is promoted without any encouragement, they might become demoralized by more difficult tasks and give up. In both events, the school's structural limitations determine the outcome. It is not a case of anxiety, silence, or withdrawal that the stu</w:t>
      </w:r>
      <w:r w:rsidRPr="00F41304">
        <w:t>dent experiences in isolation. It is linked to full classes, limited personnel, and non-consistent support of instruction over time.</w:t>
      </w:r>
    </w:p>
    <w:p w:rsidR="00F41304" w:rsidRPr="00F41304" w:rsidRDefault="000A507A" w:rsidP="00F41304">
      <w:pPr>
        <w:pStyle w:val="NormalWeb"/>
        <w:spacing w:before="0" w:beforeAutospacing="0" w:after="0" w:afterAutospacing="0" w:line="480" w:lineRule="auto"/>
      </w:pPr>
      <w:r w:rsidRPr="00F41304">
        <w:t>In this part of the literature, it has been pointed out that even the educators are very much concerned with students, as w</w:t>
      </w:r>
      <w:r w:rsidRPr="00F41304">
        <w:t xml:space="preserve">ell as severely restricted within institutional structures. The role of counselors is much broader than administrative. According to Tuxbury and Gibson (2022), they </w:t>
      </w:r>
      <w:r w:rsidRPr="00F41304">
        <w:lastRenderedPageBreak/>
        <w:t>are beneficial in aiding students to recover a sense of belonging and academic self-efficac</w:t>
      </w:r>
      <w:r w:rsidRPr="00F41304">
        <w:t>y. This emotional support is very crucial when students experience recurring academic failures. Teachers, in the meantime, are working under a lot of emotional and professional pressure. Byrne et al. (2022) state that the problem is that teachers usually w</w:t>
      </w:r>
      <w:r w:rsidRPr="00F41304">
        <w:t>ant to ensure the development of students, but cannot take any action because of the policy restrictions. Such a limitation curtails their choice-making capacity in instructional issues. A study by Bitarafan et al. (2024) states that professionalism is dis</w:t>
      </w:r>
      <w:r w:rsidRPr="00F41304">
        <w:t>regarded, and educators feel powerless. The result of this kind of disconnection demoralizes and kills trust in the school administration. Kang et al. (2022) found that the strict reforms cannot be workable in other classes. This shows that flexibility and</w:t>
      </w:r>
      <w:r w:rsidRPr="00F41304">
        <w:t xml:space="preserve"> adaptability are needed. Finally, Benson et al. (2022) and Cartwright et al. (2023) both argue that individual assistance should be applied, which will re-engage learners and promote them in the long term. </w:t>
      </w:r>
    </w:p>
    <w:p w:rsidR="000E0CCC" w:rsidRPr="006D11CB" w:rsidRDefault="000A507A" w:rsidP="00D96030">
      <w:pPr>
        <w:pStyle w:val="Heading2"/>
        <w:spacing w:before="0" w:line="480" w:lineRule="auto"/>
        <w:jc w:val="center"/>
        <w:rPr>
          <w:rFonts w:ascii="Times New Roman" w:hAnsi="Times New Roman" w:cs="Times New Roman"/>
          <w:color w:val="auto"/>
          <w:sz w:val="24"/>
          <w:szCs w:val="24"/>
        </w:rPr>
      </w:pPr>
      <w:r w:rsidRPr="006D11CB">
        <w:rPr>
          <w:rStyle w:val="Strong"/>
          <w:rFonts w:ascii="Times New Roman" w:hAnsi="Times New Roman" w:cs="Times New Roman"/>
          <w:bCs w:val="0"/>
          <w:color w:val="auto"/>
          <w:sz w:val="24"/>
          <w:szCs w:val="24"/>
        </w:rPr>
        <w:t xml:space="preserve">SLIDE </w:t>
      </w:r>
      <w:r w:rsidR="00F41304">
        <w:rPr>
          <w:rStyle w:val="Strong"/>
          <w:rFonts w:ascii="Times New Roman" w:hAnsi="Times New Roman" w:cs="Times New Roman"/>
          <w:bCs w:val="0"/>
          <w:color w:val="auto"/>
          <w:sz w:val="24"/>
          <w:szCs w:val="24"/>
        </w:rPr>
        <w:t>6</w:t>
      </w:r>
      <w:r w:rsidRPr="006D11CB">
        <w:rPr>
          <w:rStyle w:val="Strong"/>
          <w:rFonts w:ascii="Times New Roman" w:hAnsi="Times New Roman" w:cs="Times New Roman"/>
          <w:bCs w:val="0"/>
          <w:color w:val="auto"/>
          <w:sz w:val="24"/>
          <w:szCs w:val="24"/>
        </w:rPr>
        <w:t xml:space="preserve"> — Methodology: Action Research and Quali</w:t>
      </w:r>
      <w:r w:rsidRPr="006D11CB">
        <w:rPr>
          <w:rStyle w:val="Strong"/>
          <w:rFonts w:ascii="Times New Roman" w:hAnsi="Times New Roman" w:cs="Times New Roman"/>
          <w:bCs w:val="0"/>
          <w:color w:val="auto"/>
          <w:sz w:val="24"/>
          <w:szCs w:val="24"/>
        </w:rPr>
        <w:t>tative Design</w:t>
      </w:r>
    </w:p>
    <w:p w:rsidR="006A1FED" w:rsidRPr="0042423D" w:rsidRDefault="000A507A" w:rsidP="00FA4D2A">
      <w:pPr>
        <w:pStyle w:val="NormalWeb"/>
        <w:spacing w:before="0" w:beforeAutospacing="0" w:after="0" w:afterAutospacing="0" w:line="480" w:lineRule="auto"/>
        <w:rPr>
          <w:highlight w:val="yellow"/>
        </w:rPr>
      </w:pPr>
      <w:r>
        <w:t xml:space="preserve">This research will be a qualitative action research study, which is a phenomenological study. </w:t>
      </w:r>
      <w:r w:rsidR="00FA4D2A" w:rsidRPr="00FA4D2A">
        <w:t xml:space="preserve">This aims to investigate lived experiences, rather than merely numbers. Qualitative action research assists in absorbing emotional, social, and academic intricacy (Thomas &amp; Sohn, 2023). It also facilitates problem-solving in the school. Action research enables teachers to be empowered to reflect and contribute to solutions (Bitarafan et al., 2024). Phenomenology assists in exposing subjective significance as well as inside responses, as opposed to statistics (Locke et al., 2022). The context is a single under-resourced inner-city urban middle school with students who are showing chronic academic underachievement. The participants will consist of 5 students, 7 teachers, 2 counselors and 1 administrator. They are directly sampled by criterion-based purposeful sampling that selects individuals who have firsthand experience with social </w:t>
      </w:r>
      <w:r w:rsidR="00FA4D2A" w:rsidRPr="00FA4D2A">
        <w:lastRenderedPageBreak/>
        <w:t xml:space="preserve">promotion (Schlunegger et al., 2024). For example, instead of only tracking test scores, a student can explain what it feels like to be promoted while still confused every day, and educators can describe what supports </w:t>
      </w:r>
      <w:r w:rsidR="00FA4D2A">
        <w:t>are missing and what might work</w:t>
      </w:r>
      <w:r w:rsidRPr="006A1FED">
        <w:t>.</w:t>
      </w:r>
    </w:p>
    <w:p w:rsidR="000E0CCC" w:rsidRPr="0042423D" w:rsidRDefault="000A507A" w:rsidP="00D96030">
      <w:pPr>
        <w:pStyle w:val="Heading2"/>
        <w:spacing w:before="0" w:line="480" w:lineRule="auto"/>
        <w:jc w:val="center"/>
        <w:rPr>
          <w:rFonts w:ascii="Times New Roman" w:hAnsi="Times New Roman" w:cs="Times New Roman"/>
          <w:color w:val="auto"/>
          <w:sz w:val="24"/>
          <w:szCs w:val="24"/>
        </w:rPr>
      </w:pPr>
      <w:r w:rsidRPr="0042423D">
        <w:rPr>
          <w:rStyle w:val="Strong"/>
          <w:rFonts w:ascii="Times New Roman" w:hAnsi="Times New Roman" w:cs="Times New Roman"/>
          <w:bCs w:val="0"/>
          <w:color w:val="auto"/>
          <w:sz w:val="24"/>
          <w:szCs w:val="24"/>
        </w:rPr>
        <w:t xml:space="preserve">SLIDE </w:t>
      </w:r>
      <w:r w:rsidR="00F41304">
        <w:rPr>
          <w:rStyle w:val="Strong"/>
          <w:rFonts w:ascii="Times New Roman" w:hAnsi="Times New Roman" w:cs="Times New Roman"/>
          <w:bCs w:val="0"/>
          <w:color w:val="auto"/>
          <w:sz w:val="24"/>
          <w:szCs w:val="24"/>
        </w:rPr>
        <w:t>7</w:t>
      </w:r>
      <w:r w:rsidRPr="0042423D">
        <w:rPr>
          <w:rStyle w:val="Strong"/>
          <w:rFonts w:ascii="Times New Roman" w:hAnsi="Times New Roman" w:cs="Times New Roman"/>
          <w:bCs w:val="0"/>
          <w:color w:val="auto"/>
          <w:sz w:val="24"/>
          <w:szCs w:val="24"/>
        </w:rPr>
        <w:t xml:space="preserve"> — Data Collection and Analysis</w:t>
      </w:r>
    </w:p>
    <w:p w:rsidR="000E0CCC" w:rsidRPr="006D11CB" w:rsidRDefault="000A507A" w:rsidP="00D96030">
      <w:pPr>
        <w:spacing w:after="0" w:line="480" w:lineRule="auto"/>
        <w:rPr>
          <w:rFonts w:ascii="Times New Roman" w:hAnsi="Times New Roman" w:cs="Times New Roman"/>
          <w:sz w:val="24"/>
          <w:szCs w:val="24"/>
        </w:rPr>
      </w:pPr>
      <w:r w:rsidRPr="00D96030">
        <w:rPr>
          <w:rStyle w:val="Strong"/>
          <w:rFonts w:ascii="Times New Roman" w:eastAsia="Times New Roman" w:hAnsi="Times New Roman" w:cs="Times New Roman"/>
          <w:b w:val="0"/>
          <w:sz w:val="24"/>
          <w:szCs w:val="24"/>
        </w:rPr>
        <w:t>Data will be gathered in this research using semi-structured interviews and focus groups, as</w:t>
      </w:r>
      <w:r>
        <w:rPr>
          <w:rStyle w:val="Strong"/>
          <w:rFonts w:ascii="Times New Roman" w:eastAsia="Times New Roman" w:hAnsi="Times New Roman" w:cs="Times New Roman"/>
          <w:b w:val="0"/>
          <w:sz w:val="24"/>
          <w:szCs w:val="24"/>
        </w:rPr>
        <w:t xml:space="preserve"> well as classroom observations</w:t>
      </w:r>
      <w:r w:rsidR="000F1ADB" w:rsidRPr="00C83EE1">
        <w:rPr>
          <w:rFonts w:ascii="Times New Roman" w:eastAsia="Times New Roman" w:hAnsi="Times New Roman" w:cs="Times New Roman"/>
          <w:sz w:val="24"/>
          <w:szCs w:val="24"/>
        </w:rPr>
        <w:t>. The methods are selected to reach various dimensions of experience. The students are conducted with semi-structured interviews since open discussion is possible. As described by Adeoye-Olatunde and Olenik (2021), the approach is practical when the researcher needs to investigate sensitive issues, including repetitive academic failure and emotional turmoil. Teachers and counselors are placed in focus groups to share common information concerning school practices. As Akyildiz and Ahmed (2021) observe, group discussions can bring out different patterns and issues that otherwise would not emerge in a one-on-one interview. Classroom observations provide an observation of student conduct. The observation of the interaction of students in real-time is the evidence that supports those interviewed. To analyze, thematic analysis will be done by thematic coding. Stuckey (2018) underlines that the tool assists in controlling and coding thick qualitative data. Member checking and peer debriefing will be applied to enhance the accuracy and reliability, as suggested by Schlunegger et al. (2024).</w:t>
      </w:r>
    </w:p>
    <w:p w:rsidR="000E0CCC" w:rsidRPr="006D11CB" w:rsidRDefault="000A507A" w:rsidP="00D96030">
      <w:pPr>
        <w:pStyle w:val="Heading2"/>
        <w:spacing w:before="0" w:line="480" w:lineRule="auto"/>
        <w:jc w:val="center"/>
        <w:rPr>
          <w:rFonts w:ascii="Times New Roman" w:hAnsi="Times New Roman" w:cs="Times New Roman"/>
          <w:color w:val="auto"/>
          <w:sz w:val="24"/>
          <w:szCs w:val="24"/>
        </w:rPr>
      </w:pPr>
      <w:r w:rsidRPr="006D11CB">
        <w:rPr>
          <w:rStyle w:val="Strong"/>
          <w:rFonts w:ascii="Times New Roman" w:hAnsi="Times New Roman" w:cs="Times New Roman"/>
          <w:bCs w:val="0"/>
          <w:color w:val="auto"/>
          <w:sz w:val="24"/>
          <w:szCs w:val="24"/>
        </w:rPr>
        <w:t xml:space="preserve">SLIDE </w:t>
      </w:r>
      <w:r w:rsidR="00F41304">
        <w:rPr>
          <w:rStyle w:val="Strong"/>
          <w:rFonts w:ascii="Times New Roman" w:hAnsi="Times New Roman" w:cs="Times New Roman"/>
          <w:bCs w:val="0"/>
          <w:color w:val="auto"/>
          <w:sz w:val="24"/>
          <w:szCs w:val="24"/>
        </w:rPr>
        <w:t>8</w:t>
      </w:r>
      <w:r w:rsidRPr="006D11CB">
        <w:rPr>
          <w:rStyle w:val="Strong"/>
          <w:rFonts w:ascii="Times New Roman" w:hAnsi="Times New Roman" w:cs="Times New Roman"/>
          <w:bCs w:val="0"/>
          <w:color w:val="auto"/>
          <w:sz w:val="24"/>
          <w:szCs w:val="24"/>
        </w:rPr>
        <w:t xml:space="preserve"> — Implications of the Research</w:t>
      </w:r>
    </w:p>
    <w:p w:rsidR="000E0CCC" w:rsidRPr="006D11CB" w:rsidRDefault="000A507A" w:rsidP="00D9603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research will not only </w:t>
      </w:r>
      <w:r w:rsidRPr="002A317C">
        <w:rPr>
          <w:rFonts w:ascii="Times New Roman" w:eastAsia="Times New Roman" w:hAnsi="Times New Roman" w:cs="Times New Roman"/>
          <w:sz w:val="24"/>
          <w:szCs w:val="24"/>
        </w:rPr>
        <w:t>address a problem, but also practice and ethical considerations will be provided. The voice of the educator is on</w:t>
      </w:r>
      <w:r w:rsidRPr="002A317C">
        <w:rPr>
          <w:rFonts w:ascii="Times New Roman" w:eastAsia="Times New Roman" w:hAnsi="Times New Roman" w:cs="Times New Roman"/>
          <w:sz w:val="24"/>
          <w:szCs w:val="24"/>
        </w:rPr>
        <w:t>e of such implications. The teachers and counselors have been forced to follow a rigid promotion policy, which is not grounded in what they observe in the classroom. This paper sheds light on the effects of such policies on the students and provides eviden</w:t>
      </w:r>
      <w:r w:rsidRPr="002A317C">
        <w:rPr>
          <w:rFonts w:ascii="Times New Roman" w:eastAsia="Times New Roman" w:hAnsi="Times New Roman" w:cs="Times New Roman"/>
          <w:sz w:val="24"/>
          <w:szCs w:val="24"/>
        </w:rPr>
        <w:t xml:space="preserve">ce that can be used by teachers in a way that can bring about policy change. The </w:t>
      </w:r>
      <w:r w:rsidRPr="002A317C">
        <w:rPr>
          <w:rFonts w:ascii="Times New Roman" w:eastAsia="Times New Roman" w:hAnsi="Times New Roman" w:cs="Times New Roman"/>
          <w:sz w:val="24"/>
          <w:szCs w:val="24"/>
        </w:rPr>
        <w:lastRenderedPageBreak/>
        <w:t>other implication is on intervention strategies. Schools can use the results to formulate support systems that address the academic, emotional, and social needs of the student</w:t>
      </w:r>
      <w:r w:rsidRPr="002A317C">
        <w:rPr>
          <w:rFonts w:ascii="Times New Roman" w:eastAsia="Times New Roman" w:hAnsi="Times New Roman" w:cs="Times New Roman"/>
          <w:sz w:val="24"/>
          <w:szCs w:val="24"/>
        </w:rPr>
        <w:t>, instead of determining whether to promote or not promote them. The presence of such supports is all the more effective when they are informed by first-hand experiences. Finally, the study contributes to the existing discussions of the issues of education</w:t>
      </w:r>
      <w:r w:rsidRPr="002A317C">
        <w:rPr>
          <w:rFonts w:ascii="Times New Roman" w:eastAsia="Times New Roman" w:hAnsi="Times New Roman" w:cs="Times New Roman"/>
          <w:sz w:val="24"/>
          <w:szCs w:val="24"/>
        </w:rPr>
        <w:t>al equity. Cartwright et al. (2023) are of the opinion that the front-line staff and students are unlikely to participate in the decision-making process. In this study, it is recommended that schools and policymakers should be more responsive by tapping mo</w:t>
      </w:r>
      <w:r w:rsidRPr="002A317C">
        <w:rPr>
          <w:rFonts w:ascii="Times New Roman" w:eastAsia="Times New Roman" w:hAnsi="Times New Roman" w:cs="Times New Roman"/>
          <w:sz w:val="24"/>
          <w:szCs w:val="24"/>
        </w:rPr>
        <w:t>re empathy, moral obligation and commitment to equity in the lo</w:t>
      </w:r>
      <w:r>
        <w:rPr>
          <w:rFonts w:ascii="Times New Roman" w:eastAsia="Times New Roman" w:hAnsi="Times New Roman" w:cs="Times New Roman"/>
          <w:sz w:val="24"/>
          <w:szCs w:val="24"/>
        </w:rPr>
        <w:t>ng term by concentrating their voices</w:t>
      </w:r>
      <w:r w:rsidR="00CD5E2E" w:rsidRPr="006D11CB">
        <w:rPr>
          <w:rFonts w:ascii="Times New Roman" w:eastAsia="Times New Roman" w:hAnsi="Times New Roman" w:cs="Times New Roman"/>
          <w:sz w:val="24"/>
          <w:szCs w:val="24"/>
        </w:rPr>
        <w:t xml:space="preserve">. </w:t>
      </w:r>
    </w:p>
    <w:p w:rsidR="000E0CCC" w:rsidRPr="006D11CB" w:rsidRDefault="000A507A" w:rsidP="00D96030">
      <w:pPr>
        <w:pStyle w:val="Heading2"/>
        <w:spacing w:before="0" w:line="480" w:lineRule="auto"/>
        <w:jc w:val="center"/>
        <w:rPr>
          <w:rFonts w:ascii="Times New Roman" w:hAnsi="Times New Roman" w:cs="Times New Roman"/>
          <w:color w:val="auto"/>
          <w:sz w:val="24"/>
          <w:szCs w:val="24"/>
        </w:rPr>
      </w:pPr>
      <w:r w:rsidRPr="006D11CB">
        <w:rPr>
          <w:rStyle w:val="Strong"/>
          <w:rFonts w:ascii="Times New Roman" w:hAnsi="Times New Roman" w:cs="Times New Roman"/>
          <w:bCs w:val="0"/>
          <w:color w:val="auto"/>
          <w:sz w:val="24"/>
          <w:szCs w:val="24"/>
        </w:rPr>
        <w:t xml:space="preserve">SLIDE </w:t>
      </w:r>
      <w:r w:rsidR="00F41304">
        <w:rPr>
          <w:rStyle w:val="Strong"/>
          <w:rFonts w:ascii="Times New Roman" w:hAnsi="Times New Roman" w:cs="Times New Roman"/>
          <w:bCs w:val="0"/>
          <w:color w:val="auto"/>
          <w:sz w:val="24"/>
          <w:szCs w:val="24"/>
        </w:rPr>
        <w:t>9</w:t>
      </w:r>
      <w:r w:rsidRPr="006D11CB">
        <w:rPr>
          <w:rStyle w:val="Strong"/>
          <w:rFonts w:ascii="Times New Roman" w:hAnsi="Times New Roman" w:cs="Times New Roman"/>
          <w:bCs w:val="0"/>
          <w:color w:val="auto"/>
          <w:sz w:val="24"/>
          <w:szCs w:val="24"/>
        </w:rPr>
        <w:t xml:space="preserve"> — Action Research: Stringers Look, Think, Act Model</w:t>
      </w:r>
    </w:p>
    <w:p w:rsidR="000E0CCC" w:rsidRDefault="000A507A" w:rsidP="00D96030">
      <w:pPr>
        <w:pStyle w:val="NormalWeb"/>
        <w:spacing w:before="0" w:beforeAutospacing="0" w:after="0" w:afterAutospacing="0" w:line="480" w:lineRule="auto"/>
      </w:pPr>
      <w:r w:rsidRPr="0006245B">
        <w:t>This work follows the action research cycle presented by Stringer (2021), and it includes the</w:t>
      </w:r>
      <w:r w:rsidRPr="0006245B">
        <w:t xml:space="preserve"> following steps: Look, Think, and Act. Look stage is allocated to gathering first-hand data between students, teachers, and counselors. The research involves capturing what is going on in schools and documents this using interviews, focus groups and class</w:t>
      </w:r>
      <w:r w:rsidRPr="0006245B">
        <w:t xml:space="preserve">room observations. </w:t>
      </w:r>
      <w:r w:rsidR="00FA4D2A" w:rsidRPr="00FA4D2A">
        <w:t xml:space="preserve">Iteration 1 involves the team first LOOKS. The stakeholders consist of the socially promoted students, teachers, school counselors, the assistant principal and a parent liaison officer. They interrogate students and school personnel, conduct a needs assessment, research promotion practices and achievement, to find the key areas of concern (Weeks 1-3). Next, they THINK. Stakeholders are the researchers, the teacher in charge, the school counselor, the assistant principal, and the parent liaison officer. They plan measures related to interviewing the pilot, filter the release of questions, obtain IRB approval and consent and create an Action Planning Committee (Weeks 1-3). Then they ACT. The committee will develop an initial school response and outline a draft plan of support (Weeks 3-4). In Iteration 2, they (LOOK) are revisited with follow-up </w:t>
      </w:r>
      <w:r w:rsidR="00FA4D2A" w:rsidRPr="00FA4D2A">
        <w:lastRenderedPageBreak/>
        <w:t>observations and check-ins, (THINK/REFlect) through thematic analysis and member checks, and (ACT) through carrying out interviews, focus groups, classroom observations, and refining recommendations (Weeks 4 -9). For example, if "anxiety" appears in early data, the team tests a support plan</w:t>
      </w:r>
      <w:r w:rsidR="00FA4D2A">
        <w:t xml:space="preserve"> and improves it after feedback</w:t>
      </w:r>
      <w:r w:rsidRPr="006D11CB">
        <w:t>.</w:t>
      </w:r>
    </w:p>
    <w:p w:rsidR="00F502FF" w:rsidRDefault="000A507A" w:rsidP="00F502FF">
      <w:pPr>
        <w:pStyle w:val="NormalWeb"/>
        <w:spacing w:before="0" w:beforeAutospacing="0" w:after="0" w:afterAutospacing="0" w:line="480" w:lineRule="auto"/>
        <w:jc w:val="center"/>
        <w:rPr>
          <w:b/>
        </w:rPr>
      </w:pPr>
      <w:r w:rsidRPr="00F502FF">
        <w:rPr>
          <w:b/>
        </w:rPr>
        <w:t>SLIDE 1</w:t>
      </w:r>
      <w:r w:rsidR="00FD5A2F">
        <w:rPr>
          <w:b/>
        </w:rPr>
        <w:t>0</w:t>
      </w:r>
      <w:r w:rsidRPr="00F502FF">
        <w:rPr>
          <w:b/>
        </w:rPr>
        <w:t>- Findings</w:t>
      </w:r>
    </w:p>
    <w:p w:rsidR="00FD5A2F" w:rsidRPr="00FD5A2F" w:rsidRDefault="000A507A" w:rsidP="00FD5A2F">
      <w:pPr>
        <w:pStyle w:val="NormalWeb"/>
        <w:spacing w:before="0" w:beforeAutospacing="0" w:after="0" w:afterAutospacing="0" w:line="480" w:lineRule="auto"/>
        <w:rPr>
          <w:bCs/>
        </w:rPr>
      </w:pPr>
      <w:bookmarkStart w:id="0" w:name="_GoBack"/>
      <w:r w:rsidRPr="00FD5A2F">
        <w:rPr>
          <w:bCs/>
        </w:rPr>
        <w:t>The findings highlight the direct impact of social promotion on students. When stu</w:t>
      </w:r>
      <w:r w:rsidRPr="00FD5A2F">
        <w:rPr>
          <w:bCs/>
        </w:rPr>
        <w:t>dents are promoted without having really mastered important skills, they are not ready to move to the next grade level. Promotion tends to cover up the problem rather than fix it, leaving the academic gap even broader. Significant emotional implications we</w:t>
      </w:r>
      <w:r w:rsidRPr="00FD5A2F">
        <w:rPr>
          <w:bCs/>
        </w:rPr>
        <w:t>re also reported by the participants. Many students who have been socially promoted begin to lose confidence in their ability to perform, which undermines motivation and classroom performance. This emotional distress manifests itself in frustration, withdr</w:t>
      </w:r>
      <w:r w:rsidRPr="00FD5A2F">
        <w:rPr>
          <w:bCs/>
        </w:rPr>
        <w:t>awal, or disruptive behavior in certain cases. The other significant result is that not every participant opposed promotion altogether. Some respondents advocated case-specific promotion, although only to the extent that it was related to deliberate interv</w:t>
      </w:r>
      <w:r w:rsidRPr="00FD5A2F">
        <w:rPr>
          <w:bCs/>
        </w:rPr>
        <w:t>ention and after-sales care. This indicates that the results do not claim that promotion should not be promoted in all instances. Rather, they demonstrate that promotion is destructive in cases where it is made without an effective academic and emotional s</w:t>
      </w:r>
      <w:r w:rsidRPr="00FD5A2F">
        <w:rPr>
          <w:bCs/>
        </w:rPr>
        <w:t>upport plan.</w:t>
      </w:r>
    </w:p>
    <w:p w:rsidR="00FD5A2F" w:rsidRPr="00FD5A2F" w:rsidRDefault="000A507A" w:rsidP="00FD5A2F">
      <w:pPr>
        <w:pStyle w:val="NormalWeb"/>
        <w:spacing w:before="0" w:beforeAutospacing="0" w:after="0" w:afterAutospacing="0" w:line="480" w:lineRule="auto"/>
        <w:rPr>
          <w:bCs/>
        </w:rPr>
      </w:pPr>
      <w:r w:rsidRPr="00FD5A2F">
        <w:rPr>
          <w:bCs/>
        </w:rPr>
        <w:t>Moreover, existing support mechanisms for the struggling students inadequately served student needs. Some of the services were present but were reported to be inconsistent and not related to the classroom. This implies that schools should have</w:t>
      </w:r>
      <w:r w:rsidRPr="00FD5A2F">
        <w:rPr>
          <w:bCs/>
        </w:rPr>
        <w:t xml:space="preserve"> tougher mechanisms that can address the actual reasons why students fail. The participants also emphasized that decision-making in marketing should not be left to an individual. Rather, they are supposed to enroll teachers, counselors, administrators, and</w:t>
      </w:r>
      <w:r w:rsidRPr="00FD5A2F">
        <w:rPr>
          <w:bCs/>
        </w:rPr>
        <w:t xml:space="preserve"> families in collaboration using formal systems like RTI and SAT. </w:t>
      </w:r>
      <w:r w:rsidRPr="00FD5A2F">
        <w:rPr>
          <w:bCs/>
        </w:rPr>
        <w:lastRenderedPageBreak/>
        <w:t xml:space="preserve">Such teamwork assists in keeping evidence-based decisions followed by meaningful support. Lastly, the results revealed that the effects of social promotion are likely to be felt much longer </w:t>
      </w:r>
      <w:r w:rsidRPr="00FD5A2F">
        <w:rPr>
          <w:bCs/>
        </w:rPr>
        <w:t>than a single school year. This is why schools need to know the needs of students at an early age and offer a customized approach. This research recommends that early intervention, teamwork, and student-centered support can lead to success in the long term</w:t>
      </w:r>
      <w:r w:rsidRPr="00FD5A2F">
        <w:rPr>
          <w:bCs/>
        </w:rPr>
        <w:t>. For example, when a student is advanced to the seventh grade with severe reading and math deficits, the school can believe the child will adapt to the achievement over time. However, without a systematic plan, the student may end up being beaten in sever</w:t>
      </w:r>
      <w:r w:rsidRPr="00FD5A2F">
        <w:rPr>
          <w:bCs/>
        </w:rPr>
        <w:t>al subjects the following year. By ninth grade, the same student would be at risk of failing courses, dropping out, or even dropping out. A stronger reaction would have been initiated long before. RTI meetings, family conferences, progress monitoring, coun</w:t>
      </w:r>
      <w:r w:rsidRPr="00FD5A2F">
        <w:rPr>
          <w:bCs/>
        </w:rPr>
        <w:t>seling support, and targeted intervention blocks can be used by the school to respond before the gap gets severe. This demonstrates why the basis of promotion decisions must be linked to long-term planning, rather than the present objective of allowing a s</w:t>
      </w:r>
      <w:r w:rsidRPr="00FD5A2F">
        <w:rPr>
          <w:bCs/>
        </w:rPr>
        <w:t>tudent to advance to the next level.</w:t>
      </w:r>
    </w:p>
    <w:p w:rsidR="00FD5A2F" w:rsidRPr="00FD5A2F" w:rsidRDefault="00FD5A2F" w:rsidP="00FD5A2F">
      <w:pPr>
        <w:pStyle w:val="NormalWeb"/>
        <w:spacing w:before="0" w:beforeAutospacing="0" w:after="0" w:afterAutospacing="0" w:line="480" w:lineRule="auto"/>
        <w:rPr>
          <w:b/>
        </w:rPr>
      </w:pPr>
    </w:p>
    <w:bookmarkEnd w:id="0"/>
    <w:p w:rsidR="00FD5A2F" w:rsidRPr="00FD5A2F" w:rsidRDefault="00FD5A2F" w:rsidP="00FD5A2F">
      <w:pPr>
        <w:pStyle w:val="NormalWeb"/>
        <w:spacing w:before="0" w:beforeAutospacing="0" w:after="0" w:afterAutospacing="0" w:line="480" w:lineRule="auto"/>
        <w:rPr>
          <w:b/>
        </w:rPr>
      </w:pPr>
    </w:p>
    <w:p w:rsidR="00FA4D2A" w:rsidRDefault="000A507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AA5FCA" w:rsidRDefault="00AA5FCA">
      <w:pPr>
        <w:rPr>
          <w:rFonts w:ascii="Times New Roman" w:eastAsia="Times New Roman" w:hAnsi="Times New Roman" w:cs="Times New Roman"/>
          <w:b/>
          <w:sz w:val="24"/>
          <w:szCs w:val="24"/>
        </w:rPr>
      </w:pPr>
    </w:p>
    <w:p w:rsidR="00BC40E3" w:rsidRPr="006D11CB" w:rsidRDefault="000A507A" w:rsidP="00D96030">
      <w:pPr>
        <w:spacing w:after="0" w:line="480" w:lineRule="auto"/>
        <w:jc w:val="center"/>
        <w:rPr>
          <w:rFonts w:ascii="Times New Roman" w:eastAsia="Times New Roman" w:hAnsi="Times New Roman" w:cs="Times New Roman"/>
          <w:b/>
          <w:sz w:val="24"/>
          <w:szCs w:val="24"/>
        </w:rPr>
      </w:pPr>
      <w:r w:rsidRPr="006D11CB">
        <w:rPr>
          <w:rFonts w:ascii="Times New Roman" w:eastAsia="Times New Roman" w:hAnsi="Times New Roman" w:cs="Times New Roman"/>
          <w:b/>
          <w:sz w:val="24"/>
          <w:szCs w:val="24"/>
        </w:rPr>
        <w:t>References</w:t>
      </w:r>
    </w:p>
    <w:p w:rsidR="00142D07" w:rsidRPr="006D11CB" w:rsidRDefault="000A507A" w:rsidP="00D96030">
      <w:pPr>
        <w:spacing w:after="0" w:line="480" w:lineRule="auto"/>
        <w:ind w:left="720" w:hanging="720"/>
        <w:rPr>
          <w:rFonts w:ascii="Times New Roman" w:eastAsia="Times New Roman" w:hAnsi="Times New Roman" w:cs="Times New Roman"/>
          <w:sz w:val="24"/>
          <w:szCs w:val="24"/>
        </w:rPr>
      </w:pPr>
      <w:r w:rsidRPr="006D11CB">
        <w:rPr>
          <w:rFonts w:ascii="Times New Roman" w:eastAsia="Times New Roman" w:hAnsi="Times New Roman" w:cs="Times New Roman"/>
          <w:sz w:val="24"/>
          <w:szCs w:val="24"/>
        </w:rPr>
        <w:t xml:space="preserve">Adeoye-Olatunde, O. A., &amp; Olenik, N. L. (2021). Research and scholarly methods: Semi-structured interviews. </w:t>
      </w:r>
      <w:r w:rsidRPr="006D11CB">
        <w:rPr>
          <w:rFonts w:ascii="Times New Roman" w:eastAsia="Times New Roman" w:hAnsi="Times New Roman" w:cs="Times New Roman"/>
          <w:i/>
          <w:iCs/>
          <w:sz w:val="24"/>
          <w:szCs w:val="24"/>
        </w:rPr>
        <w:t>JACCP: Journal of the American College of Clinical Pharmacy</w:t>
      </w:r>
      <w:r w:rsidRPr="006D11CB">
        <w:rPr>
          <w:rFonts w:ascii="Times New Roman" w:eastAsia="Times New Roman" w:hAnsi="Times New Roman" w:cs="Times New Roman"/>
          <w:sz w:val="24"/>
          <w:szCs w:val="24"/>
        </w:rPr>
        <w:t xml:space="preserve">, </w:t>
      </w:r>
      <w:r w:rsidRPr="006D11CB">
        <w:rPr>
          <w:rFonts w:ascii="Times New Roman" w:eastAsia="Times New Roman" w:hAnsi="Times New Roman" w:cs="Times New Roman"/>
          <w:i/>
          <w:iCs/>
          <w:sz w:val="24"/>
          <w:szCs w:val="24"/>
        </w:rPr>
        <w:t>4</w:t>
      </w:r>
      <w:r w:rsidRPr="006D11CB">
        <w:rPr>
          <w:rFonts w:ascii="Times New Roman" w:eastAsia="Times New Roman" w:hAnsi="Times New Roman" w:cs="Times New Roman"/>
          <w:sz w:val="24"/>
          <w:szCs w:val="24"/>
        </w:rPr>
        <w:t xml:space="preserve">(10), 1358–1367. </w:t>
      </w:r>
      <w:hyperlink r:id="rId5" w:history="1">
        <w:r w:rsidRPr="006D11CB">
          <w:rPr>
            <w:rStyle w:val="Hyperlink"/>
            <w:rFonts w:ascii="Times New Roman" w:eastAsia="Times New Roman" w:hAnsi="Times New Roman" w:cs="Times New Roman"/>
            <w:color w:val="auto"/>
            <w:sz w:val="24"/>
            <w:szCs w:val="24"/>
          </w:rPr>
          <w:t>https://doi.org/10.1002/jac5.1441</w:t>
        </w:r>
      </w:hyperlink>
    </w:p>
    <w:p w:rsidR="00142D07" w:rsidRPr="006D11CB" w:rsidRDefault="000A507A" w:rsidP="00D96030">
      <w:pPr>
        <w:spacing w:after="0" w:line="480" w:lineRule="auto"/>
        <w:ind w:left="720" w:hanging="720"/>
        <w:rPr>
          <w:rFonts w:ascii="Times New Roman" w:eastAsia="Times New Roman" w:hAnsi="Times New Roman" w:cs="Times New Roman"/>
          <w:sz w:val="24"/>
          <w:szCs w:val="24"/>
        </w:rPr>
      </w:pPr>
      <w:r w:rsidRPr="006D11CB">
        <w:rPr>
          <w:rFonts w:ascii="Times New Roman" w:eastAsia="Times New Roman" w:hAnsi="Times New Roman" w:cs="Times New Roman"/>
          <w:sz w:val="24"/>
          <w:szCs w:val="24"/>
        </w:rPr>
        <w:t xml:space="preserve">Beck, K. C., Røhr, H. L., Reme, B.-A., &amp; Flatø, M. (2024). Distressing testing: A propensity score analysis of high-stakes exam failure and mental health. </w:t>
      </w:r>
      <w:r w:rsidRPr="006D11CB">
        <w:rPr>
          <w:rFonts w:ascii="Times New Roman" w:eastAsia="Times New Roman" w:hAnsi="Times New Roman" w:cs="Times New Roman"/>
          <w:i/>
          <w:iCs/>
          <w:sz w:val="24"/>
          <w:szCs w:val="24"/>
        </w:rPr>
        <w:t>Child Development</w:t>
      </w:r>
      <w:r w:rsidRPr="006D11CB">
        <w:rPr>
          <w:rFonts w:ascii="Times New Roman" w:eastAsia="Times New Roman" w:hAnsi="Times New Roman" w:cs="Times New Roman"/>
          <w:sz w:val="24"/>
          <w:szCs w:val="24"/>
        </w:rPr>
        <w:t xml:space="preserve">, </w:t>
      </w:r>
      <w:r w:rsidRPr="006D11CB">
        <w:rPr>
          <w:rFonts w:ascii="Times New Roman" w:eastAsia="Times New Roman" w:hAnsi="Times New Roman" w:cs="Times New Roman"/>
          <w:i/>
          <w:iCs/>
          <w:sz w:val="24"/>
          <w:szCs w:val="24"/>
        </w:rPr>
        <w:t>95</w:t>
      </w:r>
      <w:r w:rsidRPr="006D11CB">
        <w:rPr>
          <w:rFonts w:ascii="Times New Roman" w:eastAsia="Times New Roman" w:hAnsi="Times New Roman" w:cs="Times New Roman"/>
          <w:sz w:val="24"/>
          <w:szCs w:val="24"/>
        </w:rPr>
        <w:t xml:space="preserve">(1), 242–260. </w:t>
      </w:r>
      <w:hyperlink r:id="rId6" w:history="1">
        <w:r w:rsidRPr="006D11CB">
          <w:rPr>
            <w:rFonts w:ascii="Times New Roman" w:eastAsia="Times New Roman" w:hAnsi="Times New Roman" w:cs="Times New Roman"/>
            <w:sz w:val="24"/>
            <w:szCs w:val="24"/>
            <w:u w:val="single"/>
          </w:rPr>
          <w:t>https://doi.org/10.1111/cdev.13985</w:t>
        </w:r>
      </w:hyperlink>
    </w:p>
    <w:p w:rsidR="00142D07" w:rsidRPr="006D11CB" w:rsidRDefault="000A507A" w:rsidP="00D96030">
      <w:pPr>
        <w:spacing w:after="0" w:line="480" w:lineRule="auto"/>
        <w:ind w:left="720" w:hanging="720"/>
        <w:rPr>
          <w:rFonts w:ascii="Times New Roman" w:eastAsia="Times New Roman" w:hAnsi="Times New Roman" w:cs="Times New Roman"/>
          <w:sz w:val="24"/>
          <w:szCs w:val="24"/>
        </w:rPr>
      </w:pPr>
      <w:r w:rsidRPr="006D11CB">
        <w:rPr>
          <w:rFonts w:ascii="Times New Roman" w:eastAsia="Times New Roman" w:hAnsi="Times New Roman" w:cs="Times New Roman"/>
          <w:sz w:val="24"/>
          <w:szCs w:val="24"/>
        </w:rPr>
        <w:t>Bitarafan, F. S., Dehghani, M., Hakimzadeh, R., &amp; Mohammadi Chaboki, R. (2024). Phenomena of elementary teachers’ experiences in the process of educationa</w:t>
      </w:r>
      <w:r w:rsidRPr="006D11CB">
        <w:rPr>
          <w:rFonts w:ascii="Times New Roman" w:eastAsia="Times New Roman" w:hAnsi="Times New Roman" w:cs="Times New Roman"/>
          <w:sz w:val="24"/>
          <w:szCs w:val="24"/>
        </w:rPr>
        <w:t xml:space="preserve">l change according to Michael Fullen’s approach. </w:t>
      </w:r>
      <w:r w:rsidRPr="006D11CB">
        <w:rPr>
          <w:rFonts w:ascii="Times New Roman" w:eastAsia="Times New Roman" w:hAnsi="Times New Roman" w:cs="Times New Roman"/>
          <w:i/>
          <w:iCs/>
          <w:sz w:val="24"/>
          <w:szCs w:val="24"/>
        </w:rPr>
        <w:t>Educational and Scholastic Studies</w:t>
      </w:r>
      <w:r w:rsidRPr="006D11CB">
        <w:rPr>
          <w:rFonts w:ascii="Times New Roman" w:eastAsia="Times New Roman" w:hAnsi="Times New Roman" w:cs="Times New Roman"/>
          <w:sz w:val="24"/>
          <w:szCs w:val="24"/>
        </w:rPr>
        <w:t xml:space="preserve">, </w:t>
      </w:r>
      <w:r w:rsidRPr="006D11CB">
        <w:rPr>
          <w:rFonts w:ascii="Times New Roman" w:eastAsia="Times New Roman" w:hAnsi="Times New Roman" w:cs="Times New Roman"/>
          <w:i/>
          <w:iCs/>
          <w:sz w:val="24"/>
          <w:szCs w:val="24"/>
        </w:rPr>
        <w:t>13</w:t>
      </w:r>
      <w:r w:rsidRPr="006D11CB">
        <w:rPr>
          <w:rFonts w:ascii="Times New Roman" w:eastAsia="Times New Roman" w:hAnsi="Times New Roman" w:cs="Times New Roman"/>
          <w:sz w:val="24"/>
          <w:szCs w:val="24"/>
        </w:rPr>
        <w:t xml:space="preserve">(3), 25–47. </w:t>
      </w:r>
      <w:hyperlink r:id="rId7" w:history="1">
        <w:r w:rsidRPr="006D11CB">
          <w:rPr>
            <w:rFonts w:ascii="Times New Roman" w:eastAsia="Times New Roman" w:hAnsi="Times New Roman" w:cs="Times New Roman"/>
            <w:sz w:val="24"/>
            <w:szCs w:val="24"/>
            <w:u w:val="single"/>
          </w:rPr>
          <w:t>https://doi.org/10.48310/pma.2024.11704.3473</w:t>
        </w:r>
      </w:hyperlink>
    </w:p>
    <w:p w:rsidR="00142D07" w:rsidRPr="006D11CB" w:rsidRDefault="000A507A" w:rsidP="00D96030">
      <w:pPr>
        <w:spacing w:after="0" w:line="480" w:lineRule="auto"/>
        <w:ind w:left="720" w:hanging="720"/>
        <w:rPr>
          <w:rFonts w:ascii="Times New Roman" w:eastAsia="Times New Roman" w:hAnsi="Times New Roman" w:cs="Times New Roman"/>
          <w:sz w:val="24"/>
          <w:szCs w:val="24"/>
        </w:rPr>
      </w:pPr>
      <w:r w:rsidRPr="006D11CB">
        <w:rPr>
          <w:rFonts w:ascii="Times New Roman" w:eastAsia="Times New Roman" w:hAnsi="Times New Roman" w:cs="Times New Roman"/>
          <w:sz w:val="24"/>
          <w:szCs w:val="24"/>
        </w:rPr>
        <w:t>Cartwright, M., O’Callaghan, E., Stacy, S., Hord, C</w:t>
      </w:r>
      <w:r w:rsidRPr="006D11CB">
        <w:rPr>
          <w:rFonts w:ascii="Times New Roman" w:eastAsia="Times New Roman" w:hAnsi="Times New Roman" w:cs="Times New Roman"/>
          <w:sz w:val="24"/>
          <w:szCs w:val="24"/>
        </w:rPr>
        <w:t xml:space="preserve">., &amp; Kloos, H. (2023). Addressing the educational challenges of urban poverty: A case for solution-based research. </w:t>
      </w:r>
      <w:r w:rsidRPr="006D11CB">
        <w:rPr>
          <w:rFonts w:ascii="Times New Roman" w:eastAsia="Times New Roman" w:hAnsi="Times New Roman" w:cs="Times New Roman"/>
          <w:i/>
          <w:iCs/>
          <w:sz w:val="24"/>
          <w:szCs w:val="24"/>
        </w:rPr>
        <w:t>Frontiers in Research Metrics and Analytics</w:t>
      </w:r>
      <w:r w:rsidRPr="006D11CB">
        <w:rPr>
          <w:rFonts w:ascii="Times New Roman" w:eastAsia="Times New Roman" w:hAnsi="Times New Roman" w:cs="Times New Roman"/>
          <w:sz w:val="24"/>
          <w:szCs w:val="24"/>
        </w:rPr>
        <w:t xml:space="preserve">, </w:t>
      </w:r>
      <w:r w:rsidRPr="006D11CB">
        <w:rPr>
          <w:rFonts w:ascii="Times New Roman" w:eastAsia="Times New Roman" w:hAnsi="Times New Roman" w:cs="Times New Roman"/>
          <w:i/>
          <w:iCs/>
          <w:sz w:val="24"/>
          <w:szCs w:val="24"/>
        </w:rPr>
        <w:t>8</w:t>
      </w:r>
      <w:r w:rsidRPr="006D11CB">
        <w:rPr>
          <w:rFonts w:ascii="Times New Roman" w:eastAsia="Times New Roman" w:hAnsi="Times New Roman" w:cs="Times New Roman"/>
          <w:sz w:val="24"/>
          <w:szCs w:val="24"/>
        </w:rPr>
        <w:t xml:space="preserve">. </w:t>
      </w:r>
      <w:hyperlink r:id="rId8" w:history="1">
        <w:r w:rsidRPr="006D11CB">
          <w:rPr>
            <w:rFonts w:ascii="Times New Roman" w:eastAsia="Times New Roman" w:hAnsi="Times New Roman" w:cs="Times New Roman"/>
            <w:sz w:val="24"/>
            <w:szCs w:val="24"/>
            <w:u w:val="single"/>
          </w:rPr>
          <w:t>https://doi.org/10.3389/frma.2023.98</w:t>
        </w:r>
        <w:r w:rsidRPr="006D11CB">
          <w:rPr>
            <w:rFonts w:ascii="Times New Roman" w:eastAsia="Times New Roman" w:hAnsi="Times New Roman" w:cs="Times New Roman"/>
            <w:sz w:val="24"/>
            <w:szCs w:val="24"/>
            <w:u w:val="single"/>
          </w:rPr>
          <w:t>1837</w:t>
        </w:r>
      </w:hyperlink>
    </w:p>
    <w:p w:rsidR="00142D07" w:rsidRPr="006D11CB" w:rsidRDefault="000A507A" w:rsidP="00D96030">
      <w:pPr>
        <w:spacing w:after="0" w:line="480" w:lineRule="auto"/>
        <w:ind w:left="720" w:hanging="720"/>
        <w:rPr>
          <w:rFonts w:ascii="Times New Roman" w:eastAsia="Times New Roman" w:hAnsi="Times New Roman" w:cs="Times New Roman"/>
          <w:sz w:val="24"/>
          <w:szCs w:val="24"/>
        </w:rPr>
      </w:pPr>
      <w:r w:rsidRPr="006D11CB">
        <w:rPr>
          <w:rFonts w:ascii="Times New Roman" w:eastAsia="Times New Roman" w:hAnsi="Times New Roman" w:cs="Times New Roman"/>
          <w:sz w:val="24"/>
          <w:szCs w:val="24"/>
        </w:rPr>
        <w:t xml:space="preserve">Jacobs, J., &amp; Mantiri, O. (2022). Grade Retention and Social Promotion Dichotomy: A Theoretical and Conceptual Analysis. </w:t>
      </w:r>
      <w:r w:rsidRPr="006D11CB">
        <w:rPr>
          <w:rFonts w:ascii="Times New Roman" w:eastAsia="Times New Roman" w:hAnsi="Times New Roman" w:cs="Times New Roman"/>
          <w:i/>
          <w:iCs/>
          <w:sz w:val="24"/>
          <w:szCs w:val="24"/>
        </w:rPr>
        <w:t>Journal of Innovation in Educational and Cultural Research</w:t>
      </w:r>
      <w:r w:rsidRPr="006D11CB">
        <w:rPr>
          <w:rFonts w:ascii="Times New Roman" w:eastAsia="Times New Roman" w:hAnsi="Times New Roman" w:cs="Times New Roman"/>
          <w:sz w:val="24"/>
          <w:szCs w:val="24"/>
        </w:rPr>
        <w:t xml:space="preserve">, </w:t>
      </w:r>
      <w:r w:rsidRPr="006D11CB">
        <w:rPr>
          <w:rFonts w:ascii="Times New Roman" w:eastAsia="Times New Roman" w:hAnsi="Times New Roman" w:cs="Times New Roman"/>
          <w:i/>
          <w:iCs/>
          <w:sz w:val="24"/>
          <w:szCs w:val="24"/>
        </w:rPr>
        <w:t>3</w:t>
      </w:r>
      <w:r w:rsidRPr="006D11CB">
        <w:rPr>
          <w:rFonts w:ascii="Times New Roman" w:eastAsia="Times New Roman" w:hAnsi="Times New Roman" w:cs="Times New Roman"/>
          <w:sz w:val="24"/>
          <w:szCs w:val="24"/>
        </w:rPr>
        <w:t xml:space="preserve">(2), 226–233. </w:t>
      </w:r>
      <w:hyperlink r:id="rId9" w:history="1">
        <w:r w:rsidRPr="006D11CB">
          <w:rPr>
            <w:rFonts w:ascii="Times New Roman" w:eastAsia="Times New Roman" w:hAnsi="Times New Roman" w:cs="Times New Roman"/>
            <w:sz w:val="24"/>
            <w:szCs w:val="24"/>
            <w:u w:val="single"/>
          </w:rPr>
          <w:t>https://doi.org/10.46843/jiecr.v3i2.93</w:t>
        </w:r>
      </w:hyperlink>
    </w:p>
    <w:p w:rsidR="00142D07" w:rsidRPr="006D11CB" w:rsidRDefault="000A507A" w:rsidP="00D96030">
      <w:pPr>
        <w:spacing w:after="0" w:line="480" w:lineRule="auto"/>
        <w:ind w:left="720" w:hanging="720"/>
        <w:rPr>
          <w:rFonts w:ascii="Times New Roman" w:eastAsia="Times New Roman" w:hAnsi="Times New Roman" w:cs="Times New Roman"/>
          <w:sz w:val="24"/>
          <w:szCs w:val="24"/>
        </w:rPr>
      </w:pPr>
      <w:r w:rsidRPr="006D11CB">
        <w:rPr>
          <w:rFonts w:ascii="Times New Roman" w:eastAsia="Times New Roman" w:hAnsi="Times New Roman" w:cs="Times New Roman"/>
          <w:sz w:val="24"/>
          <w:szCs w:val="24"/>
        </w:rPr>
        <w:t xml:space="preserve">Kang, S. P., Chen, Y., Svihla, V., Gallup, A., Ferris, K., &amp; Datye, A. K. (2022). Guiding change in higher education: An emergent, iterative application of Kotter’s change model. </w:t>
      </w:r>
      <w:r w:rsidRPr="006D11CB">
        <w:rPr>
          <w:rFonts w:ascii="Times New Roman" w:eastAsia="Times New Roman" w:hAnsi="Times New Roman" w:cs="Times New Roman"/>
          <w:i/>
          <w:iCs/>
          <w:sz w:val="24"/>
          <w:szCs w:val="24"/>
        </w:rPr>
        <w:t>Studies in Higher Education</w:t>
      </w:r>
      <w:r w:rsidRPr="006D11CB">
        <w:rPr>
          <w:rFonts w:ascii="Times New Roman" w:eastAsia="Times New Roman" w:hAnsi="Times New Roman" w:cs="Times New Roman"/>
          <w:sz w:val="24"/>
          <w:szCs w:val="24"/>
        </w:rPr>
        <w:t xml:space="preserve">. </w:t>
      </w:r>
      <w:hyperlink r:id="rId10" w:history="1">
        <w:r w:rsidRPr="006D11CB">
          <w:rPr>
            <w:rFonts w:ascii="Times New Roman" w:eastAsia="Times New Roman" w:hAnsi="Times New Roman" w:cs="Times New Roman"/>
            <w:sz w:val="24"/>
            <w:szCs w:val="24"/>
            <w:u w:val="single"/>
          </w:rPr>
          <w:t>https://doi.org/10.1080/03075079.2020.1741540</w:t>
        </w:r>
      </w:hyperlink>
    </w:p>
    <w:p w:rsidR="00142D07" w:rsidRPr="006D11CB" w:rsidRDefault="000A507A" w:rsidP="00D96030">
      <w:pPr>
        <w:spacing w:after="0" w:line="480" w:lineRule="auto"/>
        <w:ind w:left="720" w:hanging="720"/>
        <w:rPr>
          <w:rFonts w:ascii="Times New Roman" w:eastAsia="Times New Roman" w:hAnsi="Times New Roman" w:cs="Times New Roman"/>
          <w:sz w:val="24"/>
          <w:szCs w:val="24"/>
        </w:rPr>
      </w:pPr>
      <w:r w:rsidRPr="006D11CB">
        <w:rPr>
          <w:rFonts w:ascii="Times New Roman" w:eastAsia="Times New Roman" w:hAnsi="Times New Roman" w:cs="Times New Roman"/>
          <w:sz w:val="24"/>
          <w:szCs w:val="24"/>
        </w:rPr>
        <w:t xml:space="preserve">Koh, G. A., Askell-Williams, H., &amp; Barr, S. (2023). Sustaining school improvement initiatives: Advice from educational leaders. </w:t>
      </w:r>
      <w:r w:rsidRPr="006D11CB">
        <w:rPr>
          <w:rFonts w:ascii="Times New Roman" w:eastAsia="Times New Roman" w:hAnsi="Times New Roman" w:cs="Times New Roman"/>
          <w:i/>
          <w:iCs/>
          <w:sz w:val="24"/>
          <w:szCs w:val="24"/>
        </w:rPr>
        <w:t>School Effectiveness and Scho</w:t>
      </w:r>
      <w:r w:rsidRPr="006D11CB">
        <w:rPr>
          <w:rFonts w:ascii="Times New Roman" w:eastAsia="Times New Roman" w:hAnsi="Times New Roman" w:cs="Times New Roman"/>
          <w:i/>
          <w:iCs/>
          <w:sz w:val="24"/>
          <w:szCs w:val="24"/>
        </w:rPr>
        <w:t>ol Improvement</w:t>
      </w:r>
      <w:r w:rsidRPr="006D11CB">
        <w:rPr>
          <w:rFonts w:ascii="Times New Roman" w:eastAsia="Times New Roman" w:hAnsi="Times New Roman" w:cs="Times New Roman"/>
          <w:sz w:val="24"/>
          <w:szCs w:val="24"/>
        </w:rPr>
        <w:t xml:space="preserve">, </w:t>
      </w:r>
      <w:r w:rsidRPr="006D11CB">
        <w:rPr>
          <w:rFonts w:ascii="Times New Roman" w:eastAsia="Times New Roman" w:hAnsi="Times New Roman" w:cs="Times New Roman"/>
          <w:i/>
          <w:iCs/>
          <w:sz w:val="24"/>
          <w:szCs w:val="24"/>
        </w:rPr>
        <w:t>34</w:t>
      </w:r>
      <w:r w:rsidRPr="006D11CB">
        <w:rPr>
          <w:rFonts w:ascii="Times New Roman" w:eastAsia="Times New Roman" w:hAnsi="Times New Roman" w:cs="Times New Roman"/>
          <w:sz w:val="24"/>
          <w:szCs w:val="24"/>
        </w:rPr>
        <w:t xml:space="preserve">(3), 298–330. </w:t>
      </w:r>
      <w:hyperlink r:id="rId11" w:history="1">
        <w:r w:rsidRPr="006D11CB">
          <w:rPr>
            <w:rFonts w:ascii="Times New Roman" w:eastAsia="Times New Roman" w:hAnsi="Times New Roman" w:cs="Times New Roman"/>
            <w:sz w:val="24"/>
            <w:szCs w:val="24"/>
            <w:u w:val="single"/>
          </w:rPr>
          <w:t>https://doi.org/10.1080/09243453.2023.2190130</w:t>
        </w:r>
      </w:hyperlink>
    </w:p>
    <w:p w:rsidR="00142D07" w:rsidRPr="006D11CB" w:rsidRDefault="000A507A" w:rsidP="00D96030">
      <w:pPr>
        <w:spacing w:after="0" w:line="480" w:lineRule="auto"/>
        <w:ind w:left="720" w:hanging="720"/>
        <w:rPr>
          <w:rFonts w:ascii="Times New Roman" w:eastAsia="Times New Roman" w:hAnsi="Times New Roman" w:cs="Times New Roman"/>
          <w:sz w:val="24"/>
          <w:szCs w:val="24"/>
        </w:rPr>
      </w:pPr>
      <w:r w:rsidRPr="006D11CB">
        <w:rPr>
          <w:rFonts w:ascii="Times New Roman" w:eastAsia="Times New Roman" w:hAnsi="Times New Roman" w:cs="Times New Roman"/>
          <w:sz w:val="24"/>
          <w:szCs w:val="24"/>
        </w:rPr>
        <w:lastRenderedPageBreak/>
        <w:t>Locke, K., Feldman, M., &amp; Golden-Biddle, K. (2022). Coding Practices and Iterativity</w:t>
      </w:r>
      <w:r w:rsidRPr="006D11CB">
        <w:rPr>
          <w:rFonts w:ascii="Times New Roman" w:eastAsia="Times New Roman" w:hAnsi="Times New Roman" w:cs="Times New Roman"/>
          <w:sz w:val="24"/>
          <w:szCs w:val="24"/>
        </w:rPr>
        <w:t xml:space="preserve">: Beyond Templates for Analyzing Qualitative Data. </w:t>
      </w:r>
      <w:r w:rsidRPr="006D11CB">
        <w:rPr>
          <w:rFonts w:ascii="Times New Roman" w:eastAsia="Times New Roman" w:hAnsi="Times New Roman" w:cs="Times New Roman"/>
          <w:i/>
          <w:iCs/>
          <w:sz w:val="24"/>
          <w:szCs w:val="24"/>
        </w:rPr>
        <w:t>Organizational Research Methods</w:t>
      </w:r>
      <w:r w:rsidRPr="006D11CB">
        <w:rPr>
          <w:rFonts w:ascii="Times New Roman" w:eastAsia="Times New Roman" w:hAnsi="Times New Roman" w:cs="Times New Roman"/>
          <w:sz w:val="24"/>
          <w:szCs w:val="24"/>
        </w:rPr>
        <w:t xml:space="preserve">, </w:t>
      </w:r>
      <w:r w:rsidRPr="006D11CB">
        <w:rPr>
          <w:rFonts w:ascii="Times New Roman" w:eastAsia="Times New Roman" w:hAnsi="Times New Roman" w:cs="Times New Roman"/>
          <w:i/>
          <w:iCs/>
          <w:sz w:val="24"/>
          <w:szCs w:val="24"/>
        </w:rPr>
        <w:t>25</w:t>
      </w:r>
      <w:r w:rsidRPr="006D11CB">
        <w:rPr>
          <w:rFonts w:ascii="Times New Roman" w:eastAsia="Times New Roman" w:hAnsi="Times New Roman" w:cs="Times New Roman"/>
          <w:sz w:val="24"/>
          <w:szCs w:val="24"/>
        </w:rPr>
        <w:t xml:space="preserve">(2), 262–284. </w:t>
      </w:r>
      <w:hyperlink r:id="rId12" w:history="1">
        <w:r w:rsidRPr="006D11CB">
          <w:rPr>
            <w:rFonts w:ascii="Times New Roman" w:eastAsia="Times New Roman" w:hAnsi="Times New Roman" w:cs="Times New Roman"/>
            <w:sz w:val="24"/>
            <w:szCs w:val="24"/>
            <w:u w:val="single"/>
          </w:rPr>
          <w:t>https://doi.org/10.1177/1094428120948600</w:t>
        </w:r>
      </w:hyperlink>
    </w:p>
    <w:p w:rsidR="00142D07" w:rsidRPr="006D11CB" w:rsidRDefault="000A507A" w:rsidP="00D96030">
      <w:pPr>
        <w:spacing w:after="0" w:line="480" w:lineRule="auto"/>
        <w:ind w:left="720" w:hanging="720"/>
        <w:rPr>
          <w:rFonts w:ascii="Times New Roman" w:eastAsia="Times New Roman" w:hAnsi="Times New Roman" w:cs="Times New Roman"/>
          <w:sz w:val="24"/>
          <w:szCs w:val="24"/>
        </w:rPr>
      </w:pPr>
      <w:r w:rsidRPr="006D11CB">
        <w:rPr>
          <w:rFonts w:ascii="Times New Roman" w:eastAsia="Times New Roman" w:hAnsi="Times New Roman" w:cs="Times New Roman"/>
          <w:sz w:val="24"/>
          <w:szCs w:val="24"/>
        </w:rPr>
        <w:t>López, V., Cárdenas, K., &amp; González, L. (2021). The Effect</w:t>
      </w:r>
      <w:r w:rsidRPr="006D11CB">
        <w:rPr>
          <w:rFonts w:ascii="Times New Roman" w:eastAsia="Times New Roman" w:hAnsi="Times New Roman" w:cs="Times New Roman"/>
          <w:sz w:val="24"/>
          <w:szCs w:val="24"/>
        </w:rPr>
        <w:t xml:space="preserve"> of School Psychologists and Social Workers on School Achievement and Failure: A National Multilevel Study in Chile. </w:t>
      </w:r>
      <w:r w:rsidRPr="006D11CB">
        <w:rPr>
          <w:rFonts w:ascii="Times New Roman" w:eastAsia="Times New Roman" w:hAnsi="Times New Roman" w:cs="Times New Roman"/>
          <w:i/>
          <w:iCs/>
          <w:sz w:val="24"/>
          <w:szCs w:val="24"/>
        </w:rPr>
        <w:t>Frontiers in Psychology</w:t>
      </w:r>
      <w:r w:rsidRPr="006D11CB">
        <w:rPr>
          <w:rFonts w:ascii="Times New Roman" w:eastAsia="Times New Roman" w:hAnsi="Times New Roman" w:cs="Times New Roman"/>
          <w:sz w:val="24"/>
          <w:szCs w:val="24"/>
        </w:rPr>
        <w:t xml:space="preserve">, </w:t>
      </w:r>
      <w:r w:rsidRPr="006D11CB">
        <w:rPr>
          <w:rFonts w:ascii="Times New Roman" w:eastAsia="Times New Roman" w:hAnsi="Times New Roman" w:cs="Times New Roman"/>
          <w:i/>
          <w:iCs/>
          <w:sz w:val="24"/>
          <w:szCs w:val="24"/>
        </w:rPr>
        <w:t>12</w:t>
      </w:r>
      <w:r w:rsidRPr="006D11CB">
        <w:rPr>
          <w:rFonts w:ascii="Times New Roman" w:eastAsia="Times New Roman" w:hAnsi="Times New Roman" w:cs="Times New Roman"/>
          <w:sz w:val="24"/>
          <w:szCs w:val="24"/>
        </w:rPr>
        <w:t xml:space="preserve">. </w:t>
      </w:r>
      <w:hyperlink r:id="rId13" w:history="1">
        <w:r w:rsidRPr="006D11CB">
          <w:rPr>
            <w:rFonts w:ascii="Times New Roman" w:eastAsia="Times New Roman" w:hAnsi="Times New Roman" w:cs="Times New Roman"/>
            <w:sz w:val="24"/>
            <w:szCs w:val="24"/>
            <w:u w:val="single"/>
          </w:rPr>
          <w:t>https://doi.org/10.3389/fpsyg.2021.639089</w:t>
        </w:r>
      </w:hyperlink>
    </w:p>
    <w:p w:rsidR="00142D07" w:rsidRPr="006D11CB" w:rsidRDefault="000A507A" w:rsidP="00D96030">
      <w:pPr>
        <w:spacing w:after="0" w:line="480" w:lineRule="auto"/>
        <w:ind w:left="720" w:hanging="720"/>
        <w:rPr>
          <w:rFonts w:ascii="Times New Roman" w:eastAsia="Times New Roman" w:hAnsi="Times New Roman" w:cs="Times New Roman"/>
          <w:sz w:val="24"/>
          <w:szCs w:val="24"/>
        </w:rPr>
      </w:pPr>
      <w:r w:rsidRPr="006D11CB">
        <w:rPr>
          <w:rFonts w:ascii="Times New Roman" w:eastAsia="Times New Roman" w:hAnsi="Times New Roman" w:cs="Times New Roman"/>
          <w:sz w:val="24"/>
          <w:szCs w:val="24"/>
        </w:rPr>
        <w:t>Resende, M</w:t>
      </w:r>
      <w:r w:rsidRPr="006D11CB">
        <w:rPr>
          <w:rFonts w:ascii="Times New Roman" w:eastAsia="Times New Roman" w:hAnsi="Times New Roman" w:cs="Times New Roman"/>
          <w:sz w:val="24"/>
          <w:szCs w:val="24"/>
        </w:rPr>
        <w:t xml:space="preserve">., &amp; Petterini, F. (2021). Simulating the effects of automatic promotion on early dropouts for both poor and rich students: An application to Brazilian data. </w:t>
      </w:r>
      <w:r w:rsidRPr="006D11CB">
        <w:rPr>
          <w:rFonts w:ascii="Times New Roman" w:eastAsia="Times New Roman" w:hAnsi="Times New Roman" w:cs="Times New Roman"/>
          <w:i/>
          <w:iCs/>
          <w:sz w:val="24"/>
          <w:szCs w:val="24"/>
        </w:rPr>
        <w:t>Applied Economics</w:t>
      </w:r>
      <w:r w:rsidRPr="006D11CB">
        <w:rPr>
          <w:rFonts w:ascii="Times New Roman" w:eastAsia="Times New Roman" w:hAnsi="Times New Roman" w:cs="Times New Roman"/>
          <w:sz w:val="24"/>
          <w:szCs w:val="24"/>
        </w:rPr>
        <w:t xml:space="preserve">, </w:t>
      </w:r>
      <w:r w:rsidRPr="006D11CB">
        <w:rPr>
          <w:rFonts w:ascii="Times New Roman" w:eastAsia="Times New Roman" w:hAnsi="Times New Roman" w:cs="Times New Roman"/>
          <w:i/>
          <w:iCs/>
          <w:sz w:val="24"/>
          <w:szCs w:val="24"/>
        </w:rPr>
        <w:t>53</w:t>
      </w:r>
      <w:r w:rsidRPr="006D11CB">
        <w:rPr>
          <w:rFonts w:ascii="Times New Roman" w:eastAsia="Times New Roman" w:hAnsi="Times New Roman" w:cs="Times New Roman"/>
          <w:sz w:val="24"/>
          <w:szCs w:val="24"/>
        </w:rPr>
        <w:t xml:space="preserve">(9), 1039–1051. </w:t>
      </w:r>
      <w:hyperlink r:id="rId14" w:history="1">
        <w:r w:rsidRPr="006D11CB">
          <w:rPr>
            <w:rFonts w:ascii="Times New Roman" w:eastAsia="Times New Roman" w:hAnsi="Times New Roman" w:cs="Times New Roman"/>
            <w:sz w:val="24"/>
            <w:szCs w:val="24"/>
            <w:u w:val="single"/>
          </w:rPr>
          <w:t>https://doi.org/10.1080/00036846.2020.1822510</w:t>
        </w:r>
      </w:hyperlink>
    </w:p>
    <w:p w:rsidR="00142D07" w:rsidRPr="006D11CB" w:rsidRDefault="000A507A" w:rsidP="00D96030">
      <w:pPr>
        <w:spacing w:after="0" w:line="480" w:lineRule="auto"/>
        <w:ind w:left="720" w:hanging="720"/>
        <w:rPr>
          <w:rFonts w:ascii="Times New Roman" w:eastAsia="Times New Roman" w:hAnsi="Times New Roman" w:cs="Times New Roman"/>
          <w:sz w:val="24"/>
          <w:szCs w:val="24"/>
        </w:rPr>
      </w:pPr>
      <w:r w:rsidRPr="006D11CB">
        <w:rPr>
          <w:rFonts w:ascii="Times New Roman" w:eastAsia="Times New Roman" w:hAnsi="Times New Roman" w:cs="Times New Roman"/>
          <w:sz w:val="24"/>
          <w:szCs w:val="24"/>
        </w:rPr>
        <w:t xml:space="preserve">Schlunegger, M. C., Zumstein-Shaha, M., &amp; Palm, R. (2024). Methodologic and Data-Analysis Triangulation in Case Studies: A Scoping Review. </w:t>
      </w:r>
      <w:r w:rsidRPr="006D11CB">
        <w:rPr>
          <w:rFonts w:ascii="Times New Roman" w:eastAsia="Times New Roman" w:hAnsi="Times New Roman" w:cs="Times New Roman"/>
          <w:i/>
          <w:iCs/>
          <w:sz w:val="24"/>
          <w:szCs w:val="24"/>
        </w:rPr>
        <w:t>Western Journal of Nursing Research</w:t>
      </w:r>
      <w:r w:rsidRPr="006D11CB">
        <w:rPr>
          <w:rFonts w:ascii="Times New Roman" w:eastAsia="Times New Roman" w:hAnsi="Times New Roman" w:cs="Times New Roman"/>
          <w:sz w:val="24"/>
          <w:szCs w:val="24"/>
        </w:rPr>
        <w:t xml:space="preserve">, </w:t>
      </w:r>
      <w:r w:rsidRPr="006D11CB">
        <w:rPr>
          <w:rFonts w:ascii="Times New Roman" w:eastAsia="Times New Roman" w:hAnsi="Times New Roman" w:cs="Times New Roman"/>
          <w:i/>
          <w:iCs/>
          <w:sz w:val="24"/>
          <w:szCs w:val="24"/>
        </w:rPr>
        <w:t>46</w:t>
      </w:r>
      <w:r w:rsidRPr="006D11CB">
        <w:rPr>
          <w:rFonts w:ascii="Times New Roman" w:eastAsia="Times New Roman" w:hAnsi="Times New Roman" w:cs="Times New Roman"/>
          <w:sz w:val="24"/>
          <w:szCs w:val="24"/>
        </w:rPr>
        <w:t xml:space="preserve">(8), 611–622. </w:t>
      </w:r>
      <w:hyperlink r:id="rId15" w:history="1">
        <w:r w:rsidRPr="006D11CB">
          <w:rPr>
            <w:rFonts w:ascii="Times New Roman" w:eastAsia="Times New Roman" w:hAnsi="Times New Roman" w:cs="Times New Roman"/>
            <w:sz w:val="24"/>
            <w:szCs w:val="24"/>
            <w:u w:val="single"/>
          </w:rPr>
          <w:t>https://doi.org/10.1177/01939459241263011</w:t>
        </w:r>
      </w:hyperlink>
    </w:p>
    <w:p w:rsidR="00142D07" w:rsidRPr="006D11CB" w:rsidRDefault="000A507A" w:rsidP="00D96030">
      <w:pPr>
        <w:spacing w:after="0" w:line="480" w:lineRule="auto"/>
        <w:ind w:left="720" w:hanging="720"/>
        <w:rPr>
          <w:rFonts w:ascii="Times New Roman" w:eastAsia="Times New Roman" w:hAnsi="Times New Roman" w:cs="Times New Roman"/>
          <w:sz w:val="24"/>
          <w:szCs w:val="24"/>
        </w:rPr>
      </w:pPr>
      <w:r w:rsidRPr="006D11CB">
        <w:rPr>
          <w:rFonts w:ascii="Times New Roman" w:eastAsia="Times New Roman" w:hAnsi="Times New Roman" w:cs="Times New Roman"/>
          <w:sz w:val="24"/>
          <w:szCs w:val="24"/>
        </w:rPr>
        <w:t xml:space="preserve">Sirris, S. (2022). Researchers’ Role Reflexivity When Studying Values Work. In G. Espedal, B. Jelstad Løvaas, S. Sirris, &amp; A. Wæraas (Eds.), </w:t>
      </w:r>
      <w:r w:rsidRPr="006D11CB">
        <w:rPr>
          <w:rFonts w:ascii="Times New Roman" w:eastAsia="Times New Roman" w:hAnsi="Times New Roman" w:cs="Times New Roman"/>
          <w:i/>
          <w:iCs/>
          <w:sz w:val="24"/>
          <w:szCs w:val="24"/>
        </w:rPr>
        <w:t>Researching Values: Methodologic</w:t>
      </w:r>
      <w:r w:rsidRPr="006D11CB">
        <w:rPr>
          <w:rFonts w:ascii="Times New Roman" w:eastAsia="Times New Roman" w:hAnsi="Times New Roman" w:cs="Times New Roman"/>
          <w:i/>
          <w:iCs/>
          <w:sz w:val="24"/>
          <w:szCs w:val="24"/>
        </w:rPr>
        <w:t>al Approaches for Understanding Values Work in Organisations and Leadership</w:t>
      </w:r>
      <w:r w:rsidRPr="006D11CB">
        <w:rPr>
          <w:rFonts w:ascii="Times New Roman" w:eastAsia="Times New Roman" w:hAnsi="Times New Roman" w:cs="Times New Roman"/>
          <w:sz w:val="24"/>
          <w:szCs w:val="24"/>
        </w:rPr>
        <w:t xml:space="preserve"> (pp. 205–224). Springer International Publishing. </w:t>
      </w:r>
      <w:hyperlink r:id="rId16" w:history="1">
        <w:r w:rsidRPr="006D11CB">
          <w:rPr>
            <w:rFonts w:ascii="Times New Roman" w:eastAsia="Times New Roman" w:hAnsi="Times New Roman" w:cs="Times New Roman"/>
            <w:sz w:val="24"/>
            <w:szCs w:val="24"/>
            <w:u w:val="single"/>
          </w:rPr>
          <w:t>https://doi.org/10.1007/978-3-030-90769-3_12</w:t>
        </w:r>
      </w:hyperlink>
    </w:p>
    <w:p w:rsidR="00142D07" w:rsidRPr="006D11CB" w:rsidRDefault="000A507A" w:rsidP="00D96030">
      <w:pPr>
        <w:spacing w:after="0" w:line="480" w:lineRule="auto"/>
        <w:ind w:left="720" w:hanging="720"/>
        <w:rPr>
          <w:rFonts w:ascii="Times New Roman" w:eastAsia="Times New Roman" w:hAnsi="Times New Roman" w:cs="Times New Roman"/>
          <w:sz w:val="24"/>
          <w:szCs w:val="24"/>
        </w:rPr>
      </w:pPr>
      <w:r w:rsidRPr="006D11CB">
        <w:rPr>
          <w:rFonts w:ascii="Times New Roman" w:eastAsia="Times New Roman" w:hAnsi="Times New Roman" w:cs="Times New Roman"/>
          <w:sz w:val="24"/>
          <w:szCs w:val="24"/>
        </w:rPr>
        <w:t>Sousa, A., Rodrigues, M.</w:t>
      </w:r>
      <w:r w:rsidRPr="006D11CB">
        <w:rPr>
          <w:rFonts w:ascii="Times New Roman" w:eastAsia="Times New Roman" w:hAnsi="Times New Roman" w:cs="Times New Roman"/>
          <w:sz w:val="24"/>
          <w:szCs w:val="24"/>
        </w:rPr>
        <w:t xml:space="preserve"> J., Rodrigues, M., Poltz, N., Conde-Rodriguez, A., &amp; Moreira, P. A. S. (2025). Longitudinal Impact of Grade Retention on Student Engagement with School: Challenges to Inclusive Education and to Person-Centered Schools. </w:t>
      </w:r>
      <w:r w:rsidRPr="006D11CB">
        <w:rPr>
          <w:rFonts w:ascii="Times New Roman" w:eastAsia="Times New Roman" w:hAnsi="Times New Roman" w:cs="Times New Roman"/>
          <w:i/>
          <w:iCs/>
          <w:sz w:val="24"/>
          <w:szCs w:val="24"/>
        </w:rPr>
        <w:t>European Journal of Investigation in</w:t>
      </w:r>
      <w:r w:rsidRPr="006D11CB">
        <w:rPr>
          <w:rFonts w:ascii="Times New Roman" w:eastAsia="Times New Roman" w:hAnsi="Times New Roman" w:cs="Times New Roman"/>
          <w:i/>
          <w:iCs/>
          <w:sz w:val="24"/>
          <w:szCs w:val="24"/>
        </w:rPr>
        <w:t xml:space="preserve"> Health, Psychology and Education</w:t>
      </w:r>
      <w:r w:rsidRPr="006D11CB">
        <w:rPr>
          <w:rFonts w:ascii="Times New Roman" w:eastAsia="Times New Roman" w:hAnsi="Times New Roman" w:cs="Times New Roman"/>
          <w:sz w:val="24"/>
          <w:szCs w:val="24"/>
        </w:rPr>
        <w:t xml:space="preserve">, </w:t>
      </w:r>
      <w:r w:rsidRPr="006D11CB">
        <w:rPr>
          <w:rFonts w:ascii="Times New Roman" w:eastAsia="Times New Roman" w:hAnsi="Times New Roman" w:cs="Times New Roman"/>
          <w:i/>
          <w:iCs/>
          <w:sz w:val="24"/>
          <w:szCs w:val="24"/>
        </w:rPr>
        <w:t>15</w:t>
      </w:r>
      <w:r w:rsidRPr="006D11CB">
        <w:rPr>
          <w:rFonts w:ascii="Times New Roman" w:eastAsia="Times New Roman" w:hAnsi="Times New Roman" w:cs="Times New Roman"/>
          <w:sz w:val="24"/>
          <w:szCs w:val="24"/>
        </w:rPr>
        <w:t xml:space="preserve">(10), 213. </w:t>
      </w:r>
      <w:hyperlink r:id="rId17" w:history="1">
        <w:r w:rsidRPr="006D11CB">
          <w:rPr>
            <w:rFonts w:ascii="Times New Roman" w:eastAsia="Times New Roman" w:hAnsi="Times New Roman" w:cs="Times New Roman"/>
            <w:sz w:val="24"/>
            <w:szCs w:val="24"/>
            <w:u w:val="single"/>
          </w:rPr>
          <w:t>https://doi.org/10.3390/ejihpe15100213</w:t>
        </w:r>
      </w:hyperlink>
    </w:p>
    <w:p w:rsidR="00142D07" w:rsidRPr="006D11CB" w:rsidRDefault="000A507A" w:rsidP="00D96030">
      <w:pPr>
        <w:spacing w:after="0" w:line="480" w:lineRule="auto"/>
        <w:ind w:left="720" w:hanging="720"/>
        <w:rPr>
          <w:rFonts w:ascii="Times New Roman" w:eastAsia="Times New Roman" w:hAnsi="Times New Roman" w:cs="Times New Roman"/>
          <w:sz w:val="24"/>
          <w:szCs w:val="24"/>
          <w:u w:val="single"/>
        </w:rPr>
      </w:pPr>
      <w:r w:rsidRPr="006D11CB">
        <w:rPr>
          <w:rFonts w:ascii="Times New Roman" w:eastAsia="Times New Roman" w:hAnsi="Times New Roman" w:cs="Times New Roman"/>
          <w:sz w:val="24"/>
          <w:szCs w:val="24"/>
        </w:rPr>
        <w:lastRenderedPageBreak/>
        <w:t xml:space="preserve">Stuckey, H. L. (2018). The second step in data analysis: Coding qualitative research data. </w:t>
      </w:r>
      <w:r w:rsidRPr="006D11CB">
        <w:rPr>
          <w:rFonts w:ascii="Times New Roman" w:eastAsia="Times New Roman" w:hAnsi="Times New Roman" w:cs="Times New Roman"/>
          <w:i/>
          <w:iCs/>
          <w:sz w:val="24"/>
          <w:szCs w:val="24"/>
        </w:rPr>
        <w:t>Journal of Social Healt</w:t>
      </w:r>
      <w:r w:rsidRPr="006D11CB">
        <w:rPr>
          <w:rFonts w:ascii="Times New Roman" w:eastAsia="Times New Roman" w:hAnsi="Times New Roman" w:cs="Times New Roman"/>
          <w:i/>
          <w:iCs/>
          <w:sz w:val="24"/>
          <w:szCs w:val="24"/>
        </w:rPr>
        <w:t>h and Diabetes</w:t>
      </w:r>
      <w:r w:rsidRPr="006D11CB">
        <w:rPr>
          <w:rFonts w:ascii="Times New Roman" w:eastAsia="Times New Roman" w:hAnsi="Times New Roman" w:cs="Times New Roman"/>
          <w:sz w:val="24"/>
          <w:szCs w:val="24"/>
        </w:rPr>
        <w:t xml:space="preserve">, </w:t>
      </w:r>
      <w:r w:rsidRPr="006D11CB">
        <w:rPr>
          <w:rFonts w:ascii="Times New Roman" w:eastAsia="Times New Roman" w:hAnsi="Times New Roman" w:cs="Times New Roman"/>
          <w:i/>
          <w:iCs/>
          <w:sz w:val="24"/>
          <w:szCs w:val="24"/>
        </w:rPr>
        <w:t>03</w:t>
      </w:r>
      <w:r w:rsidRPr="006D11CB">
        <w:rPr>
          <w:rFonts w:ascii="Times New Roman" w:eastAsia="Times New Roman" w:hAnsi="Times New Roman" w:cs="Times New Roman"/>
          <w:sz w:val="24"/>
          <w:szCs w:val="24"/>
        </w:rPr>
        <w:t xml:space="preserve">, 7–10. </w:t>
      </w:r>
      <w:hyperlink r:id="rId18" w:history="1">
        <w:r w:rsidRPr="006D11CB">
          <w:rPr>
            <w:rFonts w:ascii="Times New Roman" w:eastAsia="Times New Roman" w:hAnsi="Times New Roman" w:cs="Times New Roman"/>
            <w:sz w:val="24"/>
            <w:szCs w:val="24"/>
            <w:u w:val="single"/>
          </w:rPr>
          <w:t>https://www.thieme-connect.com/products/ejournals/abstract/10.4103/2321-0656.140875</w:t>
        </w:r>
      </w:hyperlink>
    </w:p>
    <w:p w:rsidR="00142D07" w:rsidRPr="006D11CB" w:rsidRDefault="000A507A" w:rsidP="00D96030">
      <w:pPr>
        <w:spacing w:after="0" w:line="480" w:lineRule="auto"/>
        <w:ind w:left="720" w:hanging="720"/>
        <w:rPr>
          <w:rFonts w:ascii="Times New Roman" w:eastAsia="Times New Roman" w:hAnsi="Times New Roman" w:cs="Times New Roman"/>
          <w:sz w:val="24"/>
          <w:szCs w:val="24"/>
        </w:rPr>
      </w:pPr>
      <w:r w:rsidRPr="006D11CB">
        <w:rPr>
          <w:rFonts w:ascii="Times New Roman" w:eastAsia="Times New Roman" w:hAnsi="Times New Roman" w:cs="Times New Roman"/>
          <w:sz w:val="24"/>
          <w:szCs w:val="24"/>
        </w:rPr>
        <w:t>Thomas, S. P., &amp;</w:t>
      </w:r>
      <w:r w:rsidRPr="006D11CB">
        <w:rPr>
          <w:rFonts w:ascii="Times New Roman" w:eastAsia="Times New Roman" w:hAnsi="Times New Roman" w:cs="Times New Roman"/>
          <w:sz w:val="24"/>
          <w:szCs w:val="24"/>
        </w:rPr>
        <w:t xml:space="preserve"> Sohn, B. K. (2023). From Uncomfortable Squirm to Self-Discovery: A Phenomenological Analysis of the Bracketing Experience. </w:t>
      </w:r>
      <w:r w:rsidRPr="006D11CB">
        <w:rPr>
          <w:rFonts w:ascii="Times New Roman" w:eastAsia="Times New Roman" w:hAnsi="Times New Roman" w:cs="Times New Roman"/>
          <w:i/>
          <w:iCs/>
          <w:sz w:val="24"/>
          <w:szCs w:val="24"/>
        </w:rPr>
        <w:t>International Journal of Qualitative Methods</w:t>
      </w:r>
      <w:r w:rsidRPr="006D11CB">
        <w:rPr>
          <w:rFonts w:ascii="Times New Roman" w:eastAsia="Times New Roman" w:hAnsi="Times New Roman" w:cs="Times New Roman"/>
          <w:sz w:val="24"/>
          <w:szCs w:val="24"/>
        </w:rPr>
        <w:t xml:space="preserve">, </w:t>
      </w:r>
      <w:r w:rsidRPr="006D11CB">
        <w:rPr>
          <w:rFonts w:ascii="Times New Roman" w:eastAsia="Times New Roman" w:hAnsi="Times New Roman" w:cs="Times New Roman"/>
          <w:i/>
          <w:iCs/>
          <w:sz w:val="24"/>
          <w:szCs w:val="24"/>
        </w:rPr>
        <w:t>22</w:t>
      </w:r>
      <w:r w:rsidRPr="006D11CB">
        <w:rPr>
          <w:rFonts w:ascii="Times New Roman" w:eastAsia="Times New Roman" w:hAnsi="Times New Roman" w:cs="Times New Roman"/>
          <w:sz w:val="24"/>
          <w:szCs w:val="24"/>
        </w:rPr>
        <w:t xml:space="preserve">, 16094069231191635. </w:t>
      </w:r>
      <w:hyperlink r:id="rId19" w:history="1">
        <w:r w:rsidRPr="006D11CB">
          <w:rPr>
            <w:rFonts w:ascii="Times New Roman" w:eastAsia="Times New Roman" w:hAnsi="Times New Roman" w:cs="Times New Roman"/>
            <w:sz w:val="24"/>
            <w:szCs w:val="24"/>
            <w:u w:val="single"/>
          </w:rPr>
          <w:t>https</w:t>
        </w:r>
        <w:r w:rsidRPr="006D11CB">
          <w:rPr>
            <w:rFonts w:ascii="Times New Roman" w:eastAsia="Times New Roman" w:hAnsi="Times New Roman" w:cs="Times New Roman"/>
            <w:sz w:val="24"/>
            <w:szCs w:val="24"/>
            <w:u w:val="single"/>
          </w:rPr>
          <w:t>://doi.org/10.1177/16094069231191635</w:t>
        </w:r>
      </w:hyperlink>
    </w:p>
    <w:p w:rsidR="00142D07" w:rsidRPr="006D11CB" w:rsidRDefault="000A507A" w:rsidP="00D96030">
      <w:pPr>
        <w:spacing w:after="0" w:line="480" w:lineRule="auto"/>
        <w:ind w:left="720" w:hanging="720"/>
        <w:rPr>
          <w:rFonts w:ascii="Times New Roman" w:eastAsia="Times New Roman" w:hAnsi="Times New Roman" w:cs="Times New Roman"/>
          <w:sz w:val="24"/>
          <w:szCs w:val="24"/>
        </w:rPr>
      </w:pPr>
      <w:r w:rsidRPr="006D11CB">
        <w:rPr>
          <w:rFonts w:ascii="Times New Roman" w:eastAsia="Times New Roman" w:hAnsi="Times New Roman" w:cs="Times New Roman"/>
          <w:sz w:val="24"/>
          <w:szCs w:val="24"/>
        </w:rPr>
        <w:t xml:space="preserve">Tuxbury, K. L., &amp; Gibson, D. (2022). </w:t>
      </w:r>
      <w:r w:rsidRPr="006D11CB">
        <w:rPr>
          <w:rFonts w:ascii="Times New Roman" w:eastAsia="Times New Roman" w:hAnsi="Times New Roman" w:cs="Times New Roman"/>
          <w:i/>
          <w:iCs/>
          <w:sz w:val="24"/>
          <w:szCs w:val="24"/>
        </w:rPr>
        <w:t>The Role of School Counselors in Ensuring Grade Level Promotion: Impacts on Student Sense of Belonging and Academic Self-Efficacy</w:t>
      </w:r>
      <w:r w:rsidRPr="006D11CB">
        <w:rPr>
          <w:rFonts w:ascii="Times New Roman" w:eastAsia="Times New Roman" w:hAnsi="Times New Roman" w:cs="Times New Roman"/>
          <w:sz w:val="24"/>
          <w:szCs w:val="24"/>
        </w:rPr>
        <w:t xml:space="preserve">. </w:t>
      </w:r>
      <w:hyperlink r:id="rId20" w:history="1">
        <w:r w:rsidRPr="006D11CB">
          <w:rPr>
            <w:rFonts w:ascii="Times New Roman" w:eastAsia="Times New Roman" w:hAnsi="Times New Roman" w:cs="Times New Roman"/>
            <w:sz w:val="24"/>
            <w:szCs w:val="24"/>
            <w:u w:val="single"/>
          </w:rPr>
          <w:t>https://scholarworks.wm.edu/handle/internal/12887</w:t>
        </w:r>
      </w:hyperlink>
    </w:p>
    <w:p w:rsidR="00142D07" w:rsidRPr="006D11CB" w:rsidRDefault="000A507A" w:rsidP="00D96030">
      <w:pPr>
        <w:spacing w:after="0" w:line="480" w:lineRule="auto"/>
        <w:ind w:left="720" w:hanging="720"/>
        <w:rPr>
          <w:rFonts w:ascii="Times New Roman" w:eastAsia="Times New Roman" w:hAnsi="Times New Roman" w:cs="Times New Roman"/>
          <w:sz w:val="24"/>
          <w:szCs w:val="24"/>
          <w:u w:val="single"/>
        </w:rPr>
      </w:pPr>
      <w:r w:rsidRPr="006D11CB">
        <w:rPr>
          <w:rFonts w:ascii="Times New Roman" w:eastAsia="Times New Roman" w:hAnsi="Times New Roman" w:cs="Times New Roman"/>
          <w:sz w:val="24"/>
          <w:szCs w:val="24"/>
        </w:rPr>
        <w:t xml:space="preserve">Zhang, S., &amp; Huang, A. (2022). The long-term effects of automatic grade promotion on child development. </w:t>
      </w:r>
      <w:r w:rsidRPr="006D11CB">
        <w:rPr>
          <w:rFonts w:ascii="Times New Roman" w:eastAsia="Times New Roman" w:hAnsi="Times New Roman" w:cs="Times New Roman"/>
          <w:i/>
          <w:iCs/>
          <w:sz w:val="24"/>
          <w:szCs w:val="24"/>
        </w:rPr>
        <w:t>China Economic Review</w:t>
      </w:r>
      <w:r w:rsidRPr="006D11CB">
        <w:rPr>
          <w:rFonts w:ascii="Times New Roman" w:eastAsia="Times New Roman" w:hAnsi="Times New Roman" w:cs="Times New Roman"/>
          <w:sz w:val="24"/>
          <w:szCs w:val="24"/>
        </w:rPr>
        <w:t xml:space="preserve">, </w:t>
      </w:r>
      <w:r w:rsidRPr="006D11CB">
        <w:rPr>
          <w:rFonts w:ascii="Times New Roman" w:eastAsia="Times New Roman" w:hAnsi="Times New Roman" w:cs="Times New Roman"/>
          <w:i/>
          <w:iCs/>
          <w:sz w:val="24"/>
          <w:szCs w:val="24"/>
        </w:rPr>
        <w:t>74</w:t>
      </w:r>
      <w:r w:rsidRPr="006D11CB">
        <w:rPr>
          <w:rFonts w:ascii="Times New Roman" w:eastAsia="Times New Roman" w:hAnsi="Times New Roman" w:cs="Times New Roman"/>
          <w:sz w:val="24"/>
          <w:szCs w:val="24"/>
        </w:rPr>
        <w:t xml:space="preserve">, 101824. </w:t>
      </w:r>
      <w:hyperlink r:id="rId21" w:history="1">
        <w:r w:rsidRPr="006D11CB">
          <w:rPr>
            <w:rFonts w:ascii="Times New Roman" w:eastAsia="Times New Roman" w:hAnsi="Times New Roman" w:cs="Times New Roman"/>
            <w:sz w:val="24"/>
            <w:szCs w:val="24"/>
            <w:u w:val="single"/>
          </w:rPr>
          <w:t>https://doi.org/10.1016/j.chieco.2022.101824</w:t>
        </w:r>
      </w:hyperlink>
    </w:p>
    <w:p w:rsidR="00142D07" w:rsidRPr="006D11CB" w:rsidRDefault="00142D07" w:rsidP="00D96030">
      <w:pPr>
        <w:spacing w:after="0" w:line="480" w:lineRule="auto"/>
        <w:ind w:left="720" w:hanging="720"/>
        <w:rPr>
          <w:rFonts w:ascii="Times New Roman" w:eastAsia="Times New Roman" w:hAnsi="Times New Roman" w:cs="Times New Roman"/>
          <w:sz w:val="24"/>
          <w:szCs w:val="24"/>
          <w:u w:val="single"/>
        </w:rPr>
      </w:pPr>
    </w:p>
    <w:p w:rsidR="00BC40E3" w:rsidRPr="006D11CB" w:rsidRDefault="00BC40E3" w:rsidP="00D96030">
      <w:pPr>
        <w:spacing w:after="0" w:line="480" w:lineRule="auto"/>
        <w:rPr>
          <w:rFonts w:ascii="Times New Roman" w:eastAsia="Times New Roman" w:hAnsi="Times New Roman" w:cs="Times New Roman"/>
          <w:b/>
          <w:sz w:val="24"/>
          <w:szCs w:val="24"/>
        </w:rPr>
      </w:pPr>
    </w:p>
    <w:p w:rsidR="00CB32CA" w:rsidRPr="006D11CB" w:rsidRDefault="00CB32CA" w:rsidP="00D96030">
      <w:pPr>
        <w:spacing w:after="0" w:line="480" w:lineRule="auto"/>
        <w:rPr>
          <w:rFonts w:ascii="Times New Roman" w:hAnsi="Times New Roman" w:cs="Times New Roman"/>
          <w:sz w:val="24"/>
          <w:szCs w:val="24"/>
        </w:rPr>
      </w:pPr>
    </w:p>
    <w:p w:rsidR="00AF3E3F" w:rsidRPr="006D11CB" w:rsidRDefault="00AF3E3F" w:rsidP="00D96030">
      <w:pPr>
        <w:spacing w:after="0" w:line="480" w:lineRule="auto"/>
        <w:rPr>
          <w:rFonts w:ascii="Times New Roman" w:hAnsi="Times New Roman" w:cs="Times New Roman"/>
          <w:sz w:val="24"/>
          <w:szCs w:val="24"/>
        </w:rPr>
      </w:pPr>
    </w:p>
    <w:sectPr w:rsidR="00AF3E3F" w:rsidRPr="006D11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C049F"/>
    <w:multiLevelType w:val="multilevel"/>
    <w:tmpl w:val="E7CAB7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F50A2"/>
    <w:multiLevelType w:val="multilevel"/>
    <w:tmpl w:val="20082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F1266"/>
    <w:multiLevelType w:val="multilevel"/>
    <w:tmpl w:val="288CE6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3D18F5"/>
    <w:multiLevelType w:val="multilevel"/>
    <w:tmpl w:val="20082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3A5A41"/>
    <w:multiLevelType w:val="multilevel"/>
    <w:tmpl w:val="72B05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4A3C22"/>
    <w:multiLevelType w:val="multilevel"/>
    <w:tmpl w:val="6652C80A"/>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10B81379"/>
    <w:multiLevelType w:val="multilevel"/>
    <w:tmpl w:val="20082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E95D5F"/>
    <w:multiLevelType w:val="multilevel"/>
    <w:tmpl w:val="20082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581628"/>
    <w:multiLevelType w:val="multilevel"/>
    <w:tmpl w:val="4EAEE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897964"/>
    <w:multiLevelType w:val="hybridMultilevel"/>
    <w:tmpl w:val="6652C80A"/>
    <w:lvl w:ilvl="0" w:tplc="DFE04C38">
      <w:start w:val="3"/>
      <w:numFmt w:val="bullet"/>
      <w:lvlText w:val="•"/>
      <w:lvlJc w:val="left"/>
      <w:pPr>
        <w:ind w:left="720" w:hanging="360"/>
      </w:pPr>
      <w:rPr>
        <w:rFonts w:ascii="Times New Roman" w:eastAsia="Times New Roman" w:hAnsi="Times New Roman" w:cs="Times New Roman" w:hint="default"/>
      </w:rPr>
    </w:lvl>
    <w:lvl w:ilvl="1" w:tplc="8CD8CBE6" w:tentative="1">
      <w:start w:val="1"/>
      <w:numFmt w:val="bullet"/>
      <w:lvlText w:val="o"/>
      <w:lvlJc w:val="left"/>
      <w:pPr>
        <w:ind w:left="1440" w:hanging="360"/>
      </w:pPr>
      <w:rPr>
        <w:rFonts w:ascii="Courier New" w:hAnsi="Courier New" w:cs="Courier New" w:hint="default"/>
      </w:rPr>
    </w:lvl>
    <w:lvl w:ilvl="2" w:tplc="F4E80128" w:tentative="1">
      <w:start w:val="1"/>
      <w:numFmt w:val="bullet"/>
      <w:lvlText w:val=""/>
      <w:lvlJc w:val="left"/>
      <w:pPr>
        <w:ind w:left="2160" w:hanging="360"/>
      </w:pPr>
      <w:rPr>
        <w:rFonts w:ascii="Wingdings" w:hAnsi="Wingdings" w:hint="default"/>
      </w:rPr>
    </w:lvl>
    <w:lvl w:ilvl="3" w:tplc="CDAA6C42" w:tentative="1">
      <w:start w:val="1"/>
      <w:numFmt w:val="bullet"/>
      <w:lvlText w:val=""/>
      <w:lvlJc w:val="left"/>
      <w:pPr>
        <w:ind w:left="2880" w:hanging="360"/>
      </w:pPr>
      <w:rPr>
        <w:rFonts w:ascii="Symbol" w:hAnsi="Symbol" w:hint="default"/>
      </w:rPr>
    </w:lvl>
    <w:lvl w:ilvl="4" w:tplc="A686D704" w:tentative="1">
      <w:start w:val="1"/>
      <w:numFmt w:val="bullet"/>
      <w:lvlText w:val="o"/>
      <w:lvlJc w:val="left"/>
      <w:pPr>
        <w:ind w:left="3600" w:hanging="360"/>
      </w:pPr>
      <w:rPr>
        <w:rFonts w:ascii="Courier New" w:hAnsi="Courier New" w:cs="Courier New" w:hint="default"/>
      </w:rPr>
    </w:lvl>
    <w:lvl w:ilvl="5" w:tplc="71E24A9E" w:tentative="1">
      <w:start w:val="1"/>
      <w:numFmt w:val="bullet"/>
      <w:lvlText w:val=""/>
      <w:lvlJc w:val="left"/>
      <w:pPr>
        <w:ind w:left="4320" w:hanging="360"/>
      </w:pPr>
      <w:rPr>
        <w:rFonts w:ascii="Wingdings" w:hAnsi="Wingdings" w:hint="default"/>
      </w:rPr>
    </w:lvl>
    <w:lvl w:ilvl="6" w:tplc="07E2CEA2" w:tentative="1">
      <w:start w:val="1"/>
      <w:numFmt w:val="bullet"/>
      <w:lvlText w:val=""/>
      <w:lvlJc w:val="left"/>
      <w:pPr>
        <w:ind w:left="5040" w:hanging="360"/>
      </w:pPr>
      <w:rPr>
        <w:rFonts w:ascii="Symbol" w:hAnsi="Symbol" w:hint="default"/>
      </w:rPr>
    </w:lvl>
    <w:lvl w:ilvl="7" w:tplc="BD7A9692" w:tentative="1">
      <w:start w:val="1"/>
      <w:numFmt w:val="bullet"/>
      <w:lvlText w:val="o"/>
      <w:lvlJc w:val="left"/>
      <w:pPr>
        <w:ind w:left="5760" w:hanging="360"/>
      </w:pPr>
      <w:rPr>
        <w:rFonts w:ascii="Courier New" w:hAnsi="Courier New" w:cs="Courier New" w:hint="default"/>
      </w:rPr>
    </w:lvl>
    <w:lvl w:ilvl="8" w:tplc="0B621BC0" w:tentative="1">
      <w:start w:val="1"/>
      <w:numFmt w:val="bullet"/>
      <w:lvlText w:val=""/>
      <w:lvlJc w:val="left"/>
      <w:pPr>
        <w:ind w:left="6480" w:hanging="360"/>
      </w:pPr>
      <w:rPr>
        <w:rFonts w:ascii="Wingdings" w:hAnsi="Wingdings" w:hint="default"/>
      </w:rPr>
    </w:lvl>
  </w:abstractNum>
  <w:abstractNum w:abstractNumId="10" w15:restartNumberingAfterBreak="0">
    <w:nsid w:val="291B18CC"/>
    <w:multiLevelType w:val="multilevel"/>
    <w:tmpl w:val="20082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801C6D"/>
    <w:multiLevelType w:val="multilevel"/>
    <w:tmpl w:val="771E3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7F2CBB"/>
    <w:multiLevelType w:val="multilevel"/>
    <w:tmpl w:val="7E82A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9E31DF"/>
    <w:multiLevelType w:val="multilevel"/>
    <w:tmpl w:val="20082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E55506"/>
    <w:multiLevelType w:val="hybridMultilevel"/>
    <w:tmpl w:val="3F0C24DE"/>
    <w:lvl w:ilvl="0" w:tplc="21923A2C">
      <w:start w:val="1"/>
      <w:numFmt w:val="bullet"/>
      <w:lvlText w:val=""/>
      <w:lvlJc w:val="left"/>
      <w:pPr>
        <w:ind w:left="720" w:hanging="360"/>
      </w:pPr>
      <w:rPr>
        <w:rFonts w:ascii="Symbol" w:hAnsi="Symbol" w:hint="default"/>
      </w:rPr>
    </w:lvl>
    <w:lvl w:ilvl="1" w:tplc="0AD85D5E">
      <w:start w:val="1"/>
      <w:numFmt w:val="bullet"/>
      <w:lvlText w:val="o"/>
      <w:lvlJc w:val="left"/>
      <w:pPr>
        <w:ind w:left="1440" w:hanging="360"/>
      </w:pPr>
      <w:rPr>
        <w:rFonts w:ascii="Courier New" w:hAnsi="Courier New" w:cs="Courier New" w:hint="default"/>
      </w:rPr>
    </w:lvl>
    <w:lvl w:ilvl="2" w:tplc="61662444">
      <w:start w:val="1"/>
      <w:numFmt w:val="bullet"/>
      <w:lvlText w:val=""/>
      <w:lvlJc w:val="left"/>
      <w:pPr>
        <w:ind w:left="2160" w:hanging="360"/>
      </w:pPr>
      <w:rPr>
        <w:rFonts w:ascii="Wingdings" w:hAnsi="Wingdings" w:hint="default"/>
      </w:rPr>
    </w:lvl>
    <w:lvl w:ilvl="3" w:tplc="97260502" w:tentative="1">
      <w:start w:val="1"/>
      <w:numFmt w:val="bullet"/>
      <w:lvlText w:val=""/>
      <w:lvlJc w:val="left"/>
      <w:pPr>
        <w:ind w:left="2880" w:hanging="360"/>
      </w:pPr>
      <w:rPr>
        <w:rFonts w:ascii="Symbol" w:hAnsi="Symbol" w:hint="default"/>
      </w:rPr>
    </w:lvl>
    <w:lvl w:ilvl="4" w:tplc="6DE676FC" w:tentative="1">
      <w:start w:val="1"/>
      <w:numFmt w:val="bullet"/>
      <w:lvlText w:val="o"/>
      <w:lvlJc w:val="left"/>
      <w:pPr>
        <w:ind w:left="3600" w:hanging="360"/>
      </w:pPr>
      <w:rPr>
        <w:rFonts w:ascii="Courier New" w:hAnsi="Courier New" w:cs="Courier New" w:hint="default"/>
      </w:rPr>
    </w:lvl>
    <w:lvl w:ilvl="5" w:tplc="11844946" w:tentative="1">
      <w:start w:val="1"/>
      <w:numFmt w:val="bullet"/>
      <w:lvlText w:val=""/>
      <w:lvlJc w:val="left"/>
      <w:pPr>
        <w:ind w:left="4320" w:hanging="360"/>
      </w:pPr>
      <w:rPr>
        <w:rFonts w:ascii="Wingdings" w:hAnsi="Wingdings" w:hint="default"/>
      </w:rPr>
    </w:lvl>
    <w:lvl w:ilvl="6" w:tplc="70F86226" w:tentative="1">
      <w:start w:val="1"/>
      <w:numFmt w:val="bullet"/>
      <w:lvlText w:val=""/>
      <w:lvlJc w:val="left"/>
      <w:pPr>
        <w:ind w:left="5040" w:hanging="360"/>
      </w:pPr>
      <w:rPr>
        <w:rFonts w:ascii="Symbol" w:hAnsi="Symbol" w:hint="default"/>
      </w:rPr>
    </w:lvl>
    <w:lvl w:ilvl="7" w:tplc="DC5A12D0" w:tentative="1">
      <w:start w:val="1"/>
      <w:numFmt w:val="bullet"/>
      <w:lvlText w:val="o"/>
      <w:lvlJc w:val="left"/>
      <w:pPr>
        <w:ind w:left="5760" w:hanging="360"/>
      </w:pPr>
      <w:rPr>
        <w:rFonts w:ascii="Courier New" w:hAnsi="Courier New" w:cs="Courier New" w:hint="default"/>
      </w:rPr>
    </w:lvl>
    <w:lvl w:ilvl="8" w:tplc="311C5396" w:tentative="1">
      <w:start w:val="1"/>
      <w:numFmt w:val="bullet"/>
      <w:lvlText w:val=""/>
      <w:lvlJc w:val="left"/>
      <w:pPr>
        <w:ind w:left="6480" w:hanging="360"/>
      </w:pPr>
      <w:rPr>
        <w:rFonts w:ascii="Wingdings" w:hAnsi="Wingdings" w:hint="default"/>
      </w:rPr>
    </w:lvl>
  </w:abstractNum>
  <w:abstractNum w:abstractNumId="15" w15:restartNumberingAfterBreak="0">
    <w:nsid w:val="36C30781"/>
    <w:multiLevelType w:val="hybridMultilevel"/>
    <w:tmpl w:val="00BED01C"/>
    <w:lvl w:ilvl="0" w:tplc="A09022C0">
      <w:start w:val="1"/>
      <w:numFmt w:val="bullet"/>
      <w:lvlText w:val=""/>
      <w:lvlJc w:val="left"/>
      <w:pPr>
        <w:ind w:left="720" w:hanging="360"/>
      </w:pPr>
      <w:rPr>
        <w:rFonts w:ascii="Symbol" w:hAnsi="Symbol" w:hint="default"/>
      </w:rPr>
    </w:lvl>
    <w:lvl w:ilvl="1" w:tplc="8AF2E062">
      <w:start w:val="1"/>
      <w:numFmt w:val="bullet"/>
      <w:lvlText w:val="o"/>
      <w:lvlJc w:val="left"/>
      <w:pPr>
        <w:ind w:left="1440" w:hanging="360"/>
      </w:pPr>
      <w:rPr>
        <w:rFonts w:ascii="Courier New" w:hAnsi="Courier New" w:cs="Courier New" w:hint="default"/>
      </w:rPr>
    </w:lvl>
    <w:lvl w:ilvl="2" w:tplc="8F66C9FE">
      <w:start w:val="3"/>
      <w:numFmt w:val="bullet"/>
      <w:lvlText w:val="•"/>
      <w:lvlJc w:val="left"/>
      <w:pPr>
        <w:ind w:left="2520" w:hanging="720"/>
      </w:pPr>
      <w:rPr>
        <w:rFonts w:ascii="Times New Roman" w:eastAsia="Times New Roman" w:hAnsi="Times New Roman" w:cs="Times New Roman" w:hint="default"/>
      </w:rPr>
    </w:lvl>
    <w:lvl w:ilvl="3" w:tplc="8A8A45A4" w:tentative="1">
      <w:start w:val="1"/>
      <w:numFmt w:val="bullet"/>
      <w:lvlText w:val=""/>
      <w:lvlJc w:val="left"/>
      <w:pPr>
        <w:ind w:left="2880" w:hanging="360"/>
      </w:pPr>
      <w:rPr>
        <w:rFonts w:ascii="Symbol" w:hAnsi="Symbol" w:hint="default"/>
      </w:rPr>
    </w:lvl>
    <w:lvl w:ilvl="4" w:tplc="3216BCDC" w:tentative="1">
      <w:start w:val="1"/>
      <w:numFmt w:val="bullet"/>
      <w:lvlText w:val="o"/>
      <w:lvlJc w:val="left"/>
      <w:pPr>
        <w:ind w:left="3600" w:hanging="360"/>
      </w:pPr>
      <w:rPr>
        <w:rFonts w:ascii="Courier New" w:hAnsi="Courier New" w:cs="Courier New" w:hint="default"/>
      </w:rPr>
    </w:lvl>
    <w:lvl w:ilvl="5" w:tplc="D42AD9AC" w:tentative="1">
      <w:start w:val="1"/>
      <w:numFmt w:val="bullet"/>
      <w:lvlText w:val=""/>
      <w:lvlJc w:val="left"/>
      <w:pPr>
        <w:ind w:left="4320" w:hanging="360"/>
      </w:pPr>
      <w:rPr>
        <w:rFonts w:ascii="Wingdings" w:hAnsi="Wingdings" w:hint="default"/>
      </w:rPr>
    </w:lvl>
    <w:lvl w:ilvl="6" w:tplc="35DEEECC" w:tentative="1">
      <w:start w:val="1"/>
      <w:numFmt w:val="bullet"/>
      <w:lvlText w:val=""/>
      <w:lvlJc w:val="left"/>
      <w:pPr>
        <w:ind w:left="5040" w:hanging="360"/>
      </w:pPr>
      <w:rPr>
        <w:rFonts w:ascii="Symbol" w:hAnsi="Symbol" w:hint="default"/>
      </w:rPr>
    </w:lvl>
    <w:lvl w:ilvl="7" w:tplc="AE7C6F24" w:tentative="1">
      <w:start w:val="1"/>
      <w:numFmt w:val="bullet"/>
      <w:lvlText w:val="o"/>
      <w:lvlJc w:val="left"/>
      <w:pPr>
        <w:ind w:left="5760" w:hanging="360"/>
      </w:pPr>
      <w:rPr>
        <w:rFonts w:ascii="Courier New" w:hAnsi="Courier New" w:cs="Courier New" w:hint="default"/>
      </w:rPr>
    </w:lvl>
    <w:lvl w:ilvl="8" w:tplc="136A4B56" w:tentative="1">
      <w:start w:val="1"/>
      <w:numFmt w:val="bullet"/>
      <w:lvlText w:val=""/>
      <w:lvlJc w:val="left"/>
      <w:pPr>
        <w:ind w:left="6480" w:hanging="360"/>
      </w:pPr>
      <w:rPr>
        <w:rFonts w:ascii="Wingdings" w:hAnsi="Wingdings" w:hint="default"/>
      </w:rPr>
    </w:lvl>
  </w:abstractNum>
  <w:abstractNum w:abstractNumId="16" w15:restartNumberingAfterBreak="0">
    <w:nsid w:val="3CEF644A"/>
    <w:multiLevelType w:val="multilevel"/>
    <w:tmpl w:val="2008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D87B1F"/>
    <w:multiLevelType w:val="multilevel"/>
    <w:tmpl w:val="53FE9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E57F0E"/>
    <w:multiLevelType w:val="multilevel"/>
    <w:tmpl w:val="3F201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E43535"/>
    <w:multiLevelType w:val="multilevel"/>
    <w:tmpl w:val="20082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DC4C6F"/>
    <w:multiLevelType w:val="multilevel"/>
    <w:tmpl w:val="20082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856979"/>
    <w:multiLevelType w:val="multilevel"/>
    <w:tmpl w:val="2008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1609EE"/>
    <w:multiLevelType w:val="multilevel"/>
    <w:tmpl w:val="5AC00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E862BD"/>
    <w:multiLevelType w:val="multilevel"/>
    <w:tmpl w:val="53FE9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9"/>
  </w:num>
  <w:num w:numId="3">
    <w:abstractNumId w:val="21"/>
  </w:num>
  <w:num w:numId="4">
    <w:abstractNumId w:val="1"/>
  </w:num>
  <w:num w:numId="5">
    <w:abstractNumId w:val="7"/>
  </w:num>
  <w:num w:numId="6">
    <w:abstractNumId w:val="20"/>
  </w:num>
  <w:num w:numId="7">
    <w:abstractNumId w:val="16"/>
  </w:num>
  <w:num w:numId="8">
    <w:abstractNumId w:val="13"/>
  </w:num>
  <w:num w:numId="9">
    <w:abstractNumId w:val="3"/>
  </w:num>
  <w:num w:numId="10">
    <w:abstractNumId w:val="10"/>
  </w:num>
  <w:num w:numId="11">
    <w:abstractNumId w:val="12"/>
  </w:num>
  <w:num w:numId="12">
    <w:abstractNumId w:val="23"/>
  </w:num>
  <w:num w:numId="13">
    <w:abstractNumId w:val="8"/>
  </w:num>
  <w:num w:numId="14">
    <w:abstractNumId w:val="2"/>
  </w:num>
  <w:num w:numId="15">
    <w:abstractNumId w:val="0"/>
  </w:num>
  <w:num w:numId="16">
    <w:abstractNumId w:val="22"/>
  </w:num>
  <w:num w:numId="17">
    <w:abstractNumId w:val="11"/>
  </w:num>
  <w:num w:numId="18">
    <w:abstractNumId w:val="4"/>
  </w:num>
  <w:num w:numId="19">
    <w:abstractNumId w:val="18"/>
  </w:num>
  <w:num w:numId="20">
    <w:abstractNumId w:val="15"/>
  </w:num>
  <w:num w:numId="21">
    <w:abstractNumId w:val="14"/>
  </w:num>
  <w:num w:numId="22">
    <w:abstractNumId w:val="17"/>
  </w:num>
  <w:num w:numId="23">
    <w:abstractNumId w:val="9"/>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1ED"/>
    <w:rsid w:val="000001ED"/>
    <w:rsid w:val="0006245B"/>
    <w:rsid w:val="00073911"/>
    <w:rsid w:val="000A507A"/>
    <w:rsid w:val="000E0CCC"/>
    <w:rsid w:val="000F1ADB"/>
    <w:rsid w:val="00142D07"/>
    <w:rsid w:val="00170130"/>
    <w:rsid w:val="001740DB"/>
    <w:rsid w:val="001900B3"/>
    <w:rsid w:val="001928A8"/>
    <w:rsid w:val="00195E17"/>
    <w:rsid w:val="001D7DBD"/>
    <w:rsid w:val="001E3E3A"/>
    <w:rsid w:val="00226AF2"/>
    <w:rsid w:val="002620DB"/>
    <w:rsid w:val="002A317C"/>
    <w:rsid w:val="002A5A9D"/>
    <w:rsid w:val="002C0277"/>
    <w:rsid w:val="002D7582"/>
    <w:rsid w:val="003543D1"/>
    <w:rsid w:val="003A69F4"/>
    <w:rsid w:val="003D1C63"/>
    <w:rsid w:val="0042423D"/>
    <w:rsid w:val="00444D98"/>
    <w:rsid w:val="00500B0A"/>
    <w:rsid w:val="00590A25"/>
    <w:rsid w:val="006A1FED"/>
    <w:rsid w:val="006A4625"/>
    <w:rsid w:val="006D11CB"/>
    <w:rsid w:val="0070743E"/>
    <w:rsid w:val="007B5F1D"/>
    <w:rsid w:val="008377C7"/>
    <w:rsid w:val="008D1622"/>
    <w:rsid w:val="00964EEA"/>
    <w:rsid w:val="009D30E2"/>
    <w:rsid w:val="009F60CF"/>
    <w:rsid w:val="00A45F1A"/>
    <w:rsid w:val="00AA5FCA"/>
    <w:rsid w:val="00AC6095"/>
    <w:rsid w:val="00AF3E3F"/>
    <w:rsid w:val="00B71020"/>
    <w:rsid w:val="00B94D3A"/>
    <w:rsid w:val="00BA1950"/>
    <w:rsid w:val="00BC40E3"/>
    <w:rsid w:val="00BD40D6"/>
    <w:rsid w:val="00C83EE1"/>
    <w:rsid w:val="00CA2BC0"/>
    <w:rsid w:val="00CB32CA"/>
    <w:rsid w:val="00CC6DD1"/>
    <w:rsid w:val="00CD5E2E"/>
    <w:rsid w:val="00D328B8"/>
    <w:rsid w:val="00D761C0"/>
    <w:rsid w:val="00D96030"/>
    <w:rsid w:val="00DE1517"/>
    <w:rsid w:val="00E04260"/>
    <w:rsid w:val="00E24527"/>
    <w:rsid w:val="00E65611"/>
    <w:rsid w:val="00EE54A4"/>
    <w:rsid w:val="00F34E07"/>
    <w:rsid w:val="00F41304"/>
    <w:rsid w:val="00F41811"/>
    <w:rsid w:val="00F502FF"/>
    <w:rsid w:val="00FA4D2A"/>
    <w:rsid w:val="00FD5A2F"/>
    <w:rsid w:val="00FE127B"/>
    <w:rsid w:val="00FE6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6A1805-4D90-41BE-ACAB-3E56A3CE4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001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0E0C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001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0001ED"/>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0001ED"/>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1E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0001ED"/>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0001ED"/>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0001ED"/>
    <w:rPr>
      <w:rFonts w:ascii="Times New Roman" w:eastAsia="Times New Roman" w:hAnsi="Times New Roman" w:cs="Times New Roman"/>
      <w:b/>
      <w:bCs/>
      <w:sz w:val="15"/>
      <w:szCs w:val="15"/>
    </w:rPr>
  </w:style>
  <w:style w:type="character" w:styleId="Strong">
    <w:name w:val="Strong"/>
    <w:basedOn w:val="DefaultParagraphFont"/>
    <w:uiPriority w:val="22"/>
    <w:qFormat/>
    <w:rsid w:val="000001ED"/>
    <w:rPr>
      <w:b/>
      <w:bCs/>
    </w:rPr>
  </w:style>
  <w:style w:type="paragraph" w:styleId="NormalWeb">
    <w:name w:val="Normal (Web)"/>
    <w:basedOn w:val="Normal"/>
    <w:uiPriority w:val="99"/>
    <w:unhideWhenUsed/>
    <w:rsid w:val="000001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42D07"/>
    <w:rPr>
      <w:color w:val="0000FF"/>
      <w:u w:val="single"/>
    </w:rPr>
  </w:style>
  <w:style w:type="character" w:customStyle="1" w:styleId="Heading2Char">
    <w:name w:val="Heading 2 Char"/>
    <w:basedOn w:val="DefaultParagraphFont"/>
    <w:link w:val="Heading2"/>
    <w:uiPriority w:val="9"/>
    <w:rsid w:val="000E0CCC"/>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D960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rma.2023.981837" TargetMode="External"/><Relationship Id="rId13" Type="http://schemas.openxmlformats.org/officeDocument/2006/relationships/hyperlink" Target="https://doi.org/10.3389/fpsyg.2021.639089" TargetMode="External"/><Relationship Id="rId18" Type="http://schemas.openxmlformats.org/officeDocument/2006/relationships/hyperlink" Target="https://www.thieme-connect.com/products/ejournals/abstract/10.4103/2321-0656.140875" TargetMode="External"/><Relationship Id="rId3" Type="http://schemas.openxmlformats.org/officeDocument/2006/relationships/settings" Target="settings.xml"/><Relationship Id="rId21" Type="http://schemas.openxmlformats.org/officeDocument/2006/relationships/hyperlink" Target="https://doi.org/10.1016/j.chieco.2022.101824" TargetMode="External"/><Relationship Id="rId7" Type="http://schemas.openxmlformats.org/officeDocument/2006/relationships/hyperlink" Target="https://doi.org/10.48310/pma.2024.11704.3473" TargetMode="External"/><Relationship Id="rId12" Type="http://schemas.openxmlformats.org/officeDocument/2006/relationships/hyperlink" Target="https://doi.org/10.1177/1094428120948600" TargetMode="External"/><Relationship Id="rId17" Type="http://schemas.openxmlformats.org/officeDocument/2006/relationships/hyperlink" Target="https://doi.org/10.3390/ejihpe15100213" TargetMode="External"/><Relationship Id="rId2" Type="http://schemas.openxmlformats.org/officeDocument/2006/relationships/styles" Target="styles.xml"/><Relationship Id="rId16" Type="http://schemas.openxmlformats.org/officeDocument/2006/relationships/hyperlink" Target="https://doi.org/10.1007/978-3-030-90769-3_12" TargetMode="External"/><Relationship Id="rId20" Type="http://schemas.openxmlformats.org/officeDocument/2006/relationships/hyperlink" Target="https://scholarworks.wm.edu/handle/internal/12887" TargetMode="External"/><Relationship Id="rId1" Type="http://schemas.openxmlformats.org/officeDocument/2006/relationships/numbering" Target="numbering.xml"/><Relationship Id="rId6" Type="http://schemas.openxmlformats.org/officeDocument/2006/relationships/hyperlink" Target="https://doi.org/10.1111/cdev.13985" TargetMode="External"/><Relationship Id="rId11" Type="http://schemas.openxmlformats.org/officeDocument/2006/relationships/hyperlink" Target="https://doi.org/10.1080/09243453.2023.2190130" TargetMode="External"/><Relationship Id="rId5" Type="http://schemas.openxmlformats.org/officeDocument/2006/relationships/hyperlink" Target="https://doi.org/10.1002/jac5.1441" TargetMode="External"/><Relationship Id="rId15" Type="http://schemas.openxmlformats.org/officeDocument/2006/relationships/hyperlink" Target="https://doi.org/10.1177/01939459241263011" TargetMode="External"/><Relationship Id="rId23" Type="http://schemas.openxmlformats.org/officeDocument/2006/relationships/theme" Target="theme/theme1.xml"/><Relationship Id="rId10" Type="http://schemas.openxmlformats.org/officeDocument/2006/relationships/hyperlink" Target="https://doi.org/10.1080/03075079.2020.1741540" TargetMode="External"/><Relationship Id="rId19" Type="http://schemas.openxmlformats.org/officeDocument/2006/relationships/hyperlink" Target="https://doi.org/10.1177/16094069231191635" TargetMode="External"/><Relationship Id="rId4" Type="http://schemas.openxmlformats.org/officeDocument/2006/relationships/webSettings" Target="webSettings.xml"/><Relationship Id="rId9" Type="http://schemas.openxmlformats.org/officeDocument/2006/relationships/hyperlink" Target="https://doi.org/10.46843/jiecr.v3i2.93" TargetMode="External"/><Relationship Id="rId14" Type="http://schemas.openxmlformats.org/officeDocument/2006/relationships/hyperlink" Target="https://doi.org/10.1080/00036846.2020.182251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3107</Words>
  <Characters>17710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Microsoft account</cp:lastModifiedBy>
  <cp:revision>4</cp:revision>
  <dcterms:created xsi:type="dcterms:W3CDTF">2026-04-25T21:21:00Z</dcterms:created>
  <dcterms:modified xsi:type="dcterms:W3CDTF">2026-04-25T21:54:00Z</dcterms:modified>
</cp:coreProperties>
</file>