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D4ABE" w14:textId="77777777" w:rsidR="0029749B" w:rsidRDefault="002A4F2F">
      <w:pPr>
        <w:spacing w:before="2880" w:after="240"/>
        <w:jc w:val="center"/>
      </w:pPr>
      <w:r>
        <w:rPr>
          <w:b/>
          <w:bCs/>
          <w:sz w:val="28"/>
          <w:szCs w:val="28"/>
        </w:rPr>
        <w:t>Research Design</w:t>
      </w:r>
    </w:p>
    <w:p w14:paraId="24391039" w14:textId="77777777" w:rsidR="0029749B" w:rsidRDefault="002A4F2F" w:rsidP="005D737D">
      <w:pPr>
        <w:spacing w:before="1440" w:after="240"/>
        <w:jc w:val="center"/>
      </w:pPr>
      <w:r>
        <w:t>[Student Name]</w:t>
      </w:r>
    </w:p>
    <w:p w14:paraId="3C303333" w14:textId="77777777" w:rsidR="0029749B" w:rsidRDefault="002A4F2F">
      <w:pPr>
        <w:spacing w:after="240"/>
        <w:jc w:val="center"/>
      </w:pPr>
      <w:r>
        <w:t>Helms School of Government, Liberty University</w:t>
      </w:r>
    </w:p>
    <w:p w14:paraId="2028F2DD" w14:textId="77777777" w:rsidR="0029749B" w:rsidRDefault="002A4F2F">
      <w:pPr>
        <w:spacing w:after="240"/>
        <w:jc w:val="center"/>
      </w:pPr>
      <w:r>
        <w:t>Doctor of Public Administration – Capstone</w:t>
      </w:r>
    </w:p>
    <w:p w14:paraId="5DF9B8C3" w14:textId="77777777" w:rsidR="0029749B" w:rsidRDefault="002A4F2F">
      <w:pPr>
        <w:spacing w:after="240"/>
        <w:jc w:val="center"/>
      </w:pPr>
      <w:r>
        <w:t>[Course Number and Name]</w:t>
      </w:r>
    </w:p>
    <w:p w14:paraId="5031FEAF" w14:textId="77777777" w:rsidR="0029749B" w:rsidRDefault="002A4F2F">
      <w:pPr>
        <w:spacing w:after="240"/>
        <w:jc w:val="center"/>
      </w:pPr>
      <w:r>
        <w:t>[Professor Name]</w:t>
      </w:r>
    </w:p>
    <w:p w14:paraId="2904645B" w14:textId="77777777" w:rsidR="0029749B" w:rsidRDefault="002A4F2F">
      <w:pPr>
        <w:spacing w:after="240"/>
        <w:jc w:val="center"/>
      </w:pPr>
      <w:r>
        <w:t>[Date]</w:t>
      </w:r>
    </w:p>
    <w:p w14:paraId="288AB64D" w14:textId="77777777" w:rsidR="0029749B" w:rsidRDefault="0029749B">
      <w:pPr>
        <w:pageBreakBefore/>
      </w:pPr>
    </w:p>
    <w:p w14:paraId="6C806723" w14:textId="77777777" w:rsidR="0029749B" w:rsidRDefault="002A4F2F" w:rsidP="005C00D4">
      <w:pPr>
        <w:pStyle w:val="Heading1"/>
        <w:jc w:val="center"/>
      </w:pPr>
      <w:r>
        <w:t>Introduction and Research Questions</w:t>
      </w:r>
    </w:p>
    <w:p w14:paraId="58110DC6" w14:textId="7B46F967" w:rsidR="008E2B3C" w:rsidRDefault="002A4F2F" w:rsidP="008E2B3C">
      <w:pPr>
        <w:spacing w:line="480" w:lineRule="auto"/>
        <w:ind w:firstLine="720"/>
        <w:jc w:val="both"/>
      </w:pPr>
      <w:r>
        <w:t>The capstone study will examine Illinois, Indiana, and Wisconsin. Additionally, this capstone study will examine how the governance context influences equitable disaster recovery outcomes at a regional level (e.g., inland flooding, tornado alley shift, and</w:t>
      </w:r>
      <w:r>
        <w:t xml:space="preserve"> polar vortex events). This central research question intends to answer the practical problem of inconsistent and inequitable post-disaster recovery across different political systems (e.g., state or local). While DHS aims to rationalize interagency coordi</w:t>
      </w:r>
      <w:r>
        <w:t>nation between levels of government (federal vs. state/local), the continuing inadequacies in this respect still create significant delays in obtaining post-disaster assistance. Additionally, these delays may create hardships for socially vulnerable person</w:t>
      </w:r>
      <w:r>
        <w:t xml:space="preserve">s (Wise &amp; Nader, 2002). </w:t>
      </w:r>
    </w:p>
    <w:p w14:paraId="3AAC66B3" w14:textId="77777777" w:rsidR="00EF42BD" w:rsidRDefault="002A4F2F" w:rsidP="00EF42BD">
      <w:pPr>
        <w:spacing w:line="480" w:lineRule="auto"/>
        <w:ind w:firstLine="720"/>
        <w:jc w:val="both"/>
      </w:pPr>
      <w:r>
        <w:t xml:space="preserve">Three supporting sub-research questions assist in understanding the central inquiry of this study. First, how does the governance structure of Illinois, Indiana, and Wisconsin have an effect upon the allocation of federal disaster </w:t>
      </w:r>
      <w:r>
        <w:t>assistance (i.e., resources) to different socio-economic groups? Second, how do the interagency coordination mechanisms used in Illinois, Indiana, and Wisconsin (as evidenced by the documentation in state after-action reports and federal audit findings) co</w:t>
      </w:r>
      <w:r>
        <w:t xml:space="preserve">rrelate to the differences in recovery timelines for post-major-inland-flooding, tornado, and polar- vortex-related incident recovery? The sub-question examines how climate hazard type and geography interact with governance context in creating differences </w:t>
      </w:r>
      <w:r>
        <w:t>in recovery equity outcomes across the tri-state area. As a whole, these two sub-questions will provide an opportunity to examine the primary research question from different angles.</w:t>
      </w:r>
    </w:p>
    <w:p w14:paraId="02ECC0DD" w14:textId="77777777" w:rsidR="00EF42BD" w:rsidRDefault="00EF42BD" w:rsidP="00EF42BD">
      <w:pPr>
        <w:spacing w:line="480" w:lineRule="auto"/>
        <w:ind w:firstLine="720"/>
        <w:jc w:val="both"/>
      </w:pPr>
    </w:p>
    <w:p w14:paraId="4FAF9DF9" w14:textId="77777777" w:rsidR="00EF42BD" w:rsidRPr="0009351B" w:rsidRDefault="002A4F2F" w:rsidP="0009351B">
      <w:pPr>
        <w:spacing w:line="480" w:lineRule="auto"/>
        <w:ind w:firstLine="720"/>
        <w:jc w:val="center"/>
        <w:rPr>
          <w:b/>
          <w:bCs/>
        </w:rPr>
      </w:pPr>
      <w:r w:rsidRPr="0009351B">
        <w:rPr>
          <w:b/>
          <w:bCs/>
        </w:rPr>
        <w:t>Research Design</w:t>
      </w:r>
    </w:p>
    <w:p w14:paraId="7BC91748" w14:textId="190F7240" w:rsidR="006745CE" w:rsidRDefault="002A4F2F" w:rsidP="006745CE">
      <w:pPr>
        <w:spacing w:line="480" w:lineRule="auto"/>
        <w:ind w:firstLine="720"/>
        <w:jc w:val="both"/>
      </w:pPr>
      <w:r>
        <w:lastRenderedPageBreak/>
        <w:t xml:space="preserve">This capstone employs a quantitative comparative policy </w:t>
      </w:r>
      <w:r>
        <w:t>analysis design based on the goal of comparing the relationship between governance variables and measurable recovery equity outcomes across three state contexts, which are politically distinct and serve as the basis for evaluation. Based on previous resear</w:t>
      </w:r>
      <w:r>
        <w:t xml:space="preserve">ch conducted by </w:t>
      </w:r>
      <w:proofErr w:type="spellStart"/>
      <w:r w:rsidR="007D7D46" w:rsidRPr="007D7D46">
        <w:t>Guswin</w:t>
      </w:r>
      <w:proofErr w:type="spellEnd"/>
      <w:r w:rsidR="007D7D46" w:rsidRPr="007D7D46">
        <w:t xml:space="preserve"> de Wee </w:t>
      </w:r>
      <w:r w:rsidR="007D7D46">
        <w:t>(</w:t>
      </w:r>
      <w:r w:rsidR="007D7D46" w:rsidRPr="007D7D46">
        <w:t>2021)</w:t>
      </w:r>
      <w:r w:rsidR="007D7D46">
        <w:t xml:space="preserve">, </w:t>
      </w:r>
      <w:r>
        <w:t>comparative policy analysis is a widely accepted research methodology in public administration that involves examining systematically how variations in policy structures, institutional arrangements, and governance condition</w:t>
      </w:r>
      <w:r>
        <w:t>s across the units, including states, impact the outcome of a dependent variable of interest</w:t>
      </w:r>
      <w:r w:rsidR="0009351B">
        <w:t xml:space="preserve"> </w:t>
      </w:r>
      <w:r w:rsidR="007D7D46" w:rsidRPr="007D7D46">
        <w:t>(</w:t>
      </w:r>
      <w:proofErr w:type="spellStart"/>
      <w:r w:rsidR="007D7D46" w:rsidRPr="007D7D46">
        <w:t>Guswin</w:t>
      </w:r>
      <w:proofErr w:type="spellEnd"/>
      <w:r w:rsidR="007D7D46" w:rsidRPr="007D7D46">
        <w:t xml:space="preserve"> de Wee, 2021)</w:t>
      </w:r>
      <w:r w:rsidR="007D7D46">
        <w:t xml:space="preserve">. </w:t>
      </w:r>
      <w:r w:rsidRPr="006745CE">
        <w:t>The comparative policy analysis research design is suitable for the research purpose of examining how institutional factors produce or moderate p</w:t>
      </w:r>
      <w:r w:rsidRPr="006745CE">
        <w:t>ublic outcomes through real-world administrative data, instead of an experimental setting to manipulate government structures</w:t>
      </w:r>
      <w:r w:rsidRPr="006745CE">
        <w:t xml:space="preserve">. </w:t>
      </w:r>
      <w:proofErr w:type="spellStart"/>
      <w:r w:rsidR="007D7D46" w:rsidRPr="007D7D46">
        <w:t>Rizk</w:t>
      </w:r>
      <w:proofErr w:type="spellEnd"/>
      <w:r w:rsidR="007D7D46" w:rsidRPr="007D7D46">
        <w:t xml:space="preserve"> &amp; Lindgren </w:t>
      </w:r>
      <w:r w:rsidR="007D7D46">
        <w:t>(</w:t>
      </w:r>
      <w:r w:rsidR="007D7D46" w:rsidRPr="007D7D46">
        <w:t>2025)</w:t>
      </w:r>
      <w:r w:rsidR="007D7D46">
        <w:t xml:space="preserve"> write</w:t>
      </w:r>
      <w:r w:rsidRPr="006745CE">
        <w:t xml:space="preserve"> that the public administration research field will be unable to ethically or practically manipu</w:t>
      </w:r>
      <w:r w:rsidRPr="006745CE">
        <w:t>late governmental structures in an experimental setting and thus, researchers must take advantage of the existing variation across jurisdictions. For example, a tri-state comparison of Illinois, Indiana, and Wisconsin provides meaningful natural variation.</w:t>
      </w:r>
      <w:r w:rsidRPr="006745CE">
        <w:t xml:space="preserve"> Illinois is seen as a blue-state governance structure that has a long-standing history of a strong public sector investment philosophy and a high level of executive authority over emergency management. In contrast, Indiana has a red-state governance struc</w:t>
      </w:r>
      <w:r w:rsidRPr="006745CE">
        <w:t>ture that is more focused on limited government intervention/administrative action and more decentralized local authority</w:t>
      </w:r>
      <w:r w:rsidR="007D7D46">
        <w:t xml:space="preserve"> </w:t>
      </w:r>
      <w:r w:rsidR="007D7D46" w:rsidRPr="007D7D46">
        <w:t>(Dave McKinney, 2022)</w:t>
      </w:r>
      <w:r w:rsidRPr="006745CE">
        <w:t xml:space="preserve">. Furthermore, Wisconsin is a purple state that has recently gone back and forth on the governance spectrum and is considered a hybrid </w:t>
      </w:r>
      <w:r w:rsidRPr="006745CE">
        <w:t>case that will enable the study to determine if outcomes align with governance philosophy.</w:t>
      </w:r>
    </w:p>
    <w:p w14:paraId="09E1B020" w14:textId="77777777" w:rsidR="007D7D46" w:rsidRDefault="002A4F2F">
      <w:pPr>
        <w:spacing w:line="480" w:lineRule="auto"/>
        <w:ind w:firstLine="720"/>
        <w:jc w:val="both"/>
      </w:pPr>
      <w:r w:rsidRPr="004675A3">
        <w:t>In addition to the political factor, the three states share risks from three hazard types. This is methodologically relevant because controlling for differences in d</w:t>
      </w:r>
      <w:r w:rsidRPr="004675A3">
        <w:t xml:space="preserve">isaster type minimizes the </w:t>
      </w:r>
      <w:r w:rsidRPr="004675A3">
        <w:lastRenderedPageBreak/>
        <w:t>potential for confounding factors in the cross-state comparison. Inland flooding has emerged as the primary documented hazard type across all three states, caused by urban impermeability, the aging of stormwater infrastructure, a</w:t>
      </w:r>
      <w:r w:rsidRPr="004675A3">
        <w:t xml:space="preserve">nd increased precipitation events that are linked to the climate dynamics of the Great Lakes region </w:t>
      </w:r>
      <w:r w:rsidR="007D7D46" w:rsidRPr="007D7D46">
        <w:t>(Inland Flooding | U.S. Climate Resilience Toolkit, 2017)</w:t>
      </w:r>
      <w:r w:rsidR="007D7D46">
        <w:t xml:space="preserve">. </w:t>
      </w:r>
      <w:r w:rsidRPr="004675A3">
        <w:t>The tornado alley shift is a recent phenomenon that has documented the northeastward movement of tornado activity that has been con</w:t>
      </w:r>
      <w:r w:rsidRPr="004675A3">
        <w:t xml:space="preserve">fined to the southern plains for many generations. Due to this reason, the legacy preparedness infrastructure currently lacks the capacity to address the increasing exposure risk of tornado activity in Illinois, Indiana, and Wisconsin </w:t>
      </w:r>
      <w:r w:rsidR="007D7D46" w:rsidRPr="007D7D46">
        <w:t>(Cao et al., 2021)</w:t>
      </w:r>
      <w:r w:rsidR="007D7D46">
        <w:t xml:space="preserve">. </w:t>
      </w:r>
      <w:r w:rsidRPr="004675A3">
        <w:t>Polar vortex events create significant demand for coordinated emergency response across multiple agencies to address the basic needs of people affected by the devastating winter of 2019; therefore, the quality of interagency coordination determines the ov</w:t>
      </w:r>
      <w:r w:rsidRPr="004675A3">
        <w:t xml:space="preserve">erall success of the coordinated response effort </w:t>
      </w:r>
      <w:r w:rsidR="007D7D46" w:rsidRPr="007D7D46">
        <w:t>(</w:t>
      </w:r>
      <w:proofErr w:type="spellStart"/>
      <w:r w:rsidR="007D7D46" w:rsidRPr="007D7D46">
        <w:t>Afargan</w:t>
      </w:r>
      <w:proofErr w:type="spellEnd"/>
      <w:r w:rsidR="007D7D46" w:rsidRPr="007D7D46">
        <w:t xml:space="preserve">-Gerstman &amp; </w:t>
      </w:r>
      <w:proofErr w:type="spellStart"/>
      <w:r w:rsidR="007D7D46" w:rsidRPr="007D7D46">
        <w:t>Domeisen</w:t>
      </w:r>
      <w:proofErr w:type="spellEnd"/>
      <w:r w:rsidR="007D7D46" w:rsidRPr="007D7D46">
        <w:t>, 2025)</w:t>
      </w:r>
      <w:r w:rsidR="007D7D46">
        <w:t xml:space="preserve">. </w:t>
      </w:r>
      <w:r w:rsidRPr="004675A3">
        <w:t xml:space="preserve">Through the analysis of three hazard types, the current study can determine if the effects of coordination and governance variables are consistent across hazard types. </w:t>
      </w:r>
    </w:p>
    <w:p w14:paraId="727B3C9B" w14:textId="6955566E" w:rsidR="00B564A7" w:rsidRDefault="00E53727">
      <w:pPr>
        <w:spacing w:line="480" w:lineRule="auto"/>
        <w:ind w:firstLine="720"/>
        <w:jc w:val="both"/>
      </w:pPr>
      <w:r w:rsidRPr="00E53727">
        <w:t xml:space="preserve">There are limitations to the comparative policy analysis design. One limitation is that there could potentially be omitted variable bias; the study cannot randomly assign coasts of governance, so there could be other unmeasured state-level factors that confound the relationship of the governance context to the equity of the recovery, e.g., geographic size, urban versus rural populations, or age of infrastructure. This limitation could be addressed by including several control variables in the regression models, e.g., state fiscal capacity, poverty rate, disaster severity score, and population density, which can be obtained from publicly available datasets from the U.S. Census Bureau and FEMA. The second limitation of this study derives from the fact that it relies on existing administrative data rather than conducting primary data collection. Therefore, </w:t>
      </w:r>
      <w:r w:rsidRPr="00E53727">
        <w:lastRenderedPageBreak/>
        <w:t xml:space="preserve">the quality of the analysis will be limited by the completeness and consistency of federal and state reporting systems. </w:t>
      </w:r>
    </w:p>
    <w:p w14:paraId="216ADA2B" w14:textId="2F855670" w:rsidR="00112B55" w:rsidRDefault="002A4F2F" w:rsidP="006F4343">
      <w:pPr>
        <w:spacing w:line="480" w:lineRule="auto"/>
        <w:ind w:firstLine="720"/>
        <w:jc w:val="both"/>
      </w:pPr>
      <w:r>
        <w:t>This research's alternative design option was to use qualitative case study approaches to study various states using elite-level interviews with emergency management professionals. The qualitative design could have produced qualitative and rich contextuall</w:t>
      </w:r>
      <w:r>
        <w:t>y specific data regarding the experiences of emergency management professionals when they entered into/ dealt with coordination challenges. However, the underlying research question specifically asks about the degree to which governance factors affected th</w:t>
      </w:r>
      <w:r>
        <w:t>e equity of various outcomes; therefore, this is inherently a quantitative research question requiring both the independent and dependent variable measurement to analyze and assess the designated populations. Therefore, a qualitative approach would not hav</w:t>
      </w:r>
      <w:r>
        <w:t xml:space="preserve">e been appropriate for accurately measuring the independent and dependent variables required to answer the research question with adequate precision and applicability for the capstone's practical application. </w:t>
      </w:r>
    </w:p>
    <w:p w14:paraId="0F3D418A" w14:textId="4B643693" w:rsidR="00112B55" w:rsidRPr="006F4343" w:rsidRDefault="002A4F2F" w:rsidP="006F4343">
      <w:pPr>
        <w:spacing w:line="480" w:lineRule="auto"/>
        <w:ind w:firstLine="720"/>
        <w:jc w:val="center"/>
        <w:rPr>
          <w:b/>
          <w:bCs/>
        </w:rPr>
      </w:pPr>
      <w:r w:rsidRPr="006F4343">
        <w:rPr>
          <w:b/>
          <w:bCs/>
        </w:rPr>
        <w:t>Research Methodology</w:t>
      </w:r>
    </w:p>
    <w:p w14:paraId="456B0AC7" w14:textId="4EE0F4AA" w:rsidR="00286257" w:rsidRDefault="002A4F2F" w:rsidP="00C33C14">
      <w:pPr>
        <w:spacing w:line="480" w:lineRule="auto"/>
        <w:ind w:firstLine="720"/>
        <w:jc w:val="both"/>
      </w:pPr>
      <w:r>
        <w:t xml:space="preserve">The research methodology </w:t>
      </w:r>
      <w:r>
        <w:t>for this capstone project is generally quantitative through multivariate regression analysis, equity gap analysis, and GIS-based spatial mapping as primary quantitative analysis techniques. Generally, the design of this study requires a quantitative method</w:t>
      </w:r>
      <w:r>
        <w:t>ology as the fundamental research question requires the analysis of comparative relationships between numerical variables across defined units of analysis.</w:t>
      </w:r>
      <w:r w:rsidR="006F4343">
        <w:t xml:space="preserve"> </w:t>
      </w:r>
      <w:r>
        <w:t xml:space="preserve">According to </w:t>
      </w:r>
      <w:r w:rsidR="00C33C14" w:rsidRPr="00C33C14">
        <w:t xml:space="preserve">Slater &amp; Hasson, </w:t>
      </w:r>
      <w:r w:rsidR="00C33C14">
        <w:t>(</w:t>
      </w:r>
      <w:r w:rsidR="00C33C14" w:rsidRPr="00C33C14">
        <w:t>2024)</w:t>
      </w:r>
      <w:r>
        <w:t>, quantitative research help provide objective, numerical d</w:t>
      </w:r>
      <w:r>
        <w:t xml:space="preserve">ata for statistical analyses to measure and evaluate the strength, direction, and significance of the relationships that exist between the variables; therefore, when conducting a quantitative study, researchers will collect </w:t>
      </w:r>
      <w:r>
        <w:lastRenderedPageBreak/>
        <w:t>numerical data using instruments</w:t>
      </w:r>
      <w:r>
        <w:t xml:space="preserve"> that generate numbers (e.g., scales) that will allow researchers to measure the dependent variable and independent variables.</w:t>
      </w:r>
    </w:p>
    <w:p w14:paraId="4EC90607" w14:textId="2716F9C6" w:rsidR="00286257" w:rsidRDefault="002A4F2F" w:rsidP="00C33C14">
      <w:pPr>
        <w:spacing w:line="480" w:lineRule="auto"/>
        <w:ind w:firstLine="720"/>
        <w:jc w:val="both"/>
      </w:pPr>
      <w:r>
        <w:t>In this study of equity in disaster recovery outcomes, the dependent variable is defined and measured based on 3 quantitative in</w:t>
      </w:r>
      <w:r>
        <w:t>dicators aggregated from FEMA, HUD, and Census data sets. In addition, the independent variables of governance context and inter-agency coordination effectiveness are defined and measured as composite indices that are similarly aggregated from administrati</w:t>
      </w:r>
      <w:r>
        <w:t>ve data sources and statutory analysis.</w:t>
      </w:r>
    </w:p>
    <w:p w14:paraId="7D14052B" w14:textId="02F2C5B4" w:rsidR="004061AB" w:rsidRDefault="002A4F2F" w:rsidP="00286257">
      <w:pPr>
        <w:spacing w:line="480" w:lineRule="auto"/>
        <w:ind w:firstLine="720"/>
        <w:jc w:val="both"/>
      </w:pPr>
      <w:r>
        <w:t>In addition, the quantitative methodology is justified by the evidentiary standards of the public administration discipline that require quantitative methodologies to inform public administration practitioners regar</w:t>
      </w:r>
      <w:r>
        <w:t xml:space="preserve">ding how to implement institutional reform and make resource allocation decisions. Furthermore, </w:t>
      </w:r>
      <w:r w:rsidR="00C33C14" w:rsidRPr="00C33C14">
        <w:t xml:space="preserve">Wei et al., </w:t>
      </w:r>
      <w:r w:rsidR="00C33C14">
        <w:t>(</w:t>
      </w:r>
      <w:r w:rsidR="00C33C14" w:rsidRPr="00C33C14">
        <w:t>2024)</w:t>
      </w:r>
      <w:r w:rsidR="00C33C14">
        <w:t xml:space="preserve"> </w:t>
      </w:r>
      <w:r>
        <w:t>states that public administration research has practical value when the studies produce results that will assist administrators with making inst</w:t>
      </w:r>
      <w:r>
        <w:t xml:space="preserve">itutional reform and resource allocation decisions. </w:t>
      </w:r>
    </w:p>
    <w:p w14:paraId="7EC67704" w14:textId="0C945528" w:rsidR="00182F70" w:rsidRDefault="002A4F2F" w:rsidP="00C33C14">
      <w:pPr>
        <w:spacing w:line="480" w:lineRule="auto"/>
        <w:ind w:firstLine="720"/>
        <w:jc w:val="both"/>
      </w:pPr>
      <w:r>
        <w:t>The primary analytic approach will evaluate the relationship between the Governance Context Index (GOI), the Interagency Coordination Effectiveness Index (ICEI), and each of the three equity outcome meas</w:t>
      </w:r>
      <w:r>
        <w:t>ures using multivariate ordinary least squares (OLS) regression. This analysis will control for the following factors, including the severity of disaster, the demographic composition of the affected area, the state's financial ability to respond to and rec</w:t>
      </w:r>
      <w:r>
        <w:t>over from a disaster, and the type of hazard. OLS regression is the appropriate analytic tool because the dependent variables are continuous measures expressed as ratios or rates; the sample provides adequate observations of disaster events and counties to</w:t>
      </w:r>
      <w:r>
        <w:t xml:space="preserve"> meet the assumptions for a linear model; and OLS regression will generate interpretable coefficients directly corresponding to the extent question contained in the central research question</w:t>
      </w:r>
      <w:r>
        <w:t xml:space="preserve">. Residual diagnostics will be performed, </w:t>
      </w:r>
      <w:r>
        <w:lastRenderedPageBreak/>
        <w:t xml:space="preserve">including </w:t>
      </w:r>
      <w:r>
        <w:t>tests for violations of model assumptions such as heteroskedasticity, multicollinearity, and normal distribution of residuals.</w:t>
      </w:r>
    </w:p>
    <w:p w14:paraId="0ED74776" w14:textId="0B8C7A78" w:rsidR="00182F70" w:rsidRDefault="002A4F2F" w:rsidP="00182F70">
      <w:pPr>
        <w:spacing w:line="480" w:lineRule="auto"/>
        <w:ind w:firstLine="720"/>
        <w:jc w:val="both"/>
      </w:pPr>
      <w:r>
        <w:t>Quantitative equity gap analysis will complement regression modeling by presenting descriptive evidence of intra- and inter-stat</w:t>
      </w:r>
      <w:r>
        <w:t>e differences in recovery outcomes across four income quartiles, three racial and ethnic groups, and two rural-urban classifications. A descriptive equity gap analysis, based on methods used in the health disparity literature and increasingly used in resea</w:t>
      </w:r>
      <w:r>
        <w:t>rch on disaster recovery</w:t>
      </w:r>
      <w:r w:rsidR="00C33C14">
        <w:t xml:space="preserve">, </w:t>
      </w:r>
      <w:r>
        <w:t>will calculate a ratio of recovery outcomes between the most and least advantaged demographic groups in each state, producing one equity gap score.</w:t>
      </w:r>
    </w:p>
    <w:p w14:paraId="3082C36C" w14:textId="67718017" w:rsidR="003D35DB" w:rsidRDefault="002A4F2F" w:rsidP="00C33C14">
      <w:pPr>
        <w:spacing w:line="480" w:lineRule="auto"/>
        <w:ind w:firstLine="720"/>
        <w:jc w:val="both"/>
      </w:pPr>
      <w:r>
        <w:t>Using GIS spatial mapping, the researchers will have acc</w:t>
      </w:r>
      <w:r>
        <w:t>ess to a visual and analytical tool that can inform on whether equity gaps cluster based on geography, potentially indicating spatial drivers of recovery disparities, for example, proximity to floodplains, distance from FEMA distribution centers, or concen</w:t>
      </w:r>
      <w:r>
        <w:t>tration/manufactured housing stock reliant on tornado susceptibility. ArcGIS software will be employed to create choropleth maps of recovery outcomes (by census tract), with overlays of demographic data layers and hazard exposure indices. This spatial dime</w:t>
      </w:r>
      <w:r>
        <w:t>nsion, moreover, will have particular relevance for the polar vortex sub-question, due to the highly geographically concentrated nature of critical infrastructure vulnerability and the significant role of spatial proximity to emergency services in influenc</w:t>
      </w:r>
      <w:r>
        <w:t>ing outcomes</w:t>
      </w:r>
      <w:r w:rsidR="00C33C14">
        <w:t>.</w:t>
      </w:r>
    </w:p>
    <w:p w14:paraId="57171808" w14:textId="77777777" w:rsidR="00C33C14" w:rsidRDefault="002A4F2F" w:rsidP="00C33C14">
      <w:pPr>
        <w:spacing w:line="480" w:lineRule="auto"/>
        <w:ind w:firstLine="720"/>
        <w:jc w:val="both"/>
      </w:pPr>
      <w:r>
        <w:t>The transparency and replicability of the quantitative methodology will be a major strength. By relying entirely on existing federal (and publicly available) datasets and documented analytical methods, the study can be</w:t>
      </w:r>
      <w:r>
        <w:t xml:space="preserve"> replicated independently and updated as new disaster events result in further data collection. One weakness of quantitative measures, however, is that they are unable to capture the full complexity of governance dynamics and coordination amongst informal </w:t>
      </w:r>
      <w:r>
        <w:t xml:space="preserve">relationships, organizational cultures, and political negotiations that cannot be expressed </w:t>
      </w:r>
      <w:r>
        <w:lastRenderedPageBreak/>
        <w:t>numerically. This limitation is noted and will be addressed through a brief supplementary analysis of qualitative findings fr</w:t>
      </w:r>
      <w:r w:rsidR="00DB7EE5">
        <w:t xml:space="preserve">om </w:t>
      </w:r>
      <w:r w:rsidR="00DC4ED0">
        <w:t>existing case studies of Illinois, Indiana, and Wisconsin disaster responses, which will be incorporated into the discussion section as contextual interpretation of the regression findings rather than as primary data.</w:t>
      </w:r>
    </w:p>
    <w:p w14:paraId="55E13CE4" w14:textId="61C82A99" w:rsidR="0029749B" w:rsidRPr="00C33C14" w:rsidRDefault="002A4F2F" w:rsidP="00C33C14">
      <w:pPr>
        <w:spacing w:line="480" w:lineRule="auto"/>
        <w:ind w:firstLine="720"/>
        <w:jc w:val="center"/>
        <w:rPr>
          <w:b/>
          <w:bCs/>
        </w:rPr>
      </w:pPr>
      <w:r w:rsidRPr="00C33C14">
        <w:rPr>
          <w:b/>
          <w:bCs/>
        </w:rPr>
        <w:t>Data Collection Methods</w:t>
      </w:r>
    </w:p>
    <w:p w14:paraId="1B97F717" w14:textId="77777777" w:rsidR="00C75637" w:rsidRDefault="002A4F2F" w:rsidP="00C75637">
      <w:pPr>
        <w:spacing w:line="480" w:lineRule="auto"/>
        <w:ind w:firstLine="720"/>
        <w:jc w:val="both"/>
      </w:pPr>
      <w:r>
        <w:t>T</w:t>
      </w:r>
      <w:r>
        <w:t xml:space="preserve">he capstone project will rely on four data </w:t>
      </w:r>
      <w:r>
        <w:t>sources that correspond to the three sub-questions and composite variable indices presented in the research design. The four data sources are four separate publicly available federally maintained datasets; three of the datasets were utilized in earlier dis</w:t>
      </w:r>
      <w:r>
        <w:t>aster recovery research, lending to the credibility of the datasets as well as to the replicability of the data analysis procedures in this study.</w:t>
      </w:r>
    </w:p>
    <w:p w14:paraId="770DA686" w14:textId="77777777" w:rsidR="00C75637" w:rsidRDefault="002A4F2F" w:rsidP="00C75637">
      <w:pPr>
        <w:spacing w:line="480" w:lineRule="auto"/>
        <w:ind w:firstLine="720"/>
        <w:jc w:val="both"/>
      </w:pPr>
      <w:r>
        <w:t xml:space="preserve">The first data source is FEMA's </w:t>
      </w:r>
      <w:proofErr w:type="spellStart"/>
      <w:r>
        <w:t>OpenFEMA</w:t>
      </w:r>
      <w:proofErr w:type="spellEnd"/>
      <w:r>
        <w:t xml:space="preserve"> dataset, which consists of individual and household program (IHP) re</w:t>
      </w:r>
      <w:r>
        <w:t xml:space="preserve">gistrations, verified losses, public assistance-funded projects, and disaster declarations summaries. The </w:t>
      </w:r>
      <w:proofErr w:type="spellStart"/>
      <w:r>
        <w:t>OpenFEMA</w:t>
      </w:r>
      <w:proofErr w:type="spellEnd"/>
      <w:r>
        <w:t xml:space="preserve"> dataset is continuously updated via FEMA's online open data platform (data.fema.gov) as disasters are declared, with the possibility of using</w:t>
      </w:r>
      <w:r>
        <w:t xml:space="preserve"> three filtered datasets to analyze all of the declared disasters that occurred in Illinois, Indiana, and Wisconsin between the years 2015 and 2025. Included in these datasets are multiple occurrences of inland flooding, tornado events of the tornado alley</w:t>
      </w:r>
      <w:r>
        <w:t xml:space="preserve"> shift phenomenon, and polar vortex-related emergency declarations. The analysis will longitudinally utilize all three datasets; therefore, the FEMA datasets will be downloaded as comma-separated value files (CSV) and joined to U.S. Census Bureau datasets </w:t>
      </w:r>
      <w:r>
        <w:t>using the Federal Information Processing Standards (FIPS) code. This will allow all datasets to be analyzed on a county and census block-level basis.</w:t>
      </w:r>
    </w:p>
    <w:p w14:paraId="1BB92B60" w14:textId="77777777" w:rsidR="00D769BF" w:rsidRDefault="002A4F2F" w:rsidP="00D769BF">
      <w:pPr>
        <w:spacing w:line="480" w:lineRule="auto"/>
        <w:ind w:firstLine="720"/>
        <w:jc w:val="both"/>
      </w:pPr>
      <w:r>
        <w:t xml:space="preserve">The second data collection method will be the extraction and analysis of CPD Housing Recovery Information (CDBG-DR Grant Tracking Data) and CPD Maps Housing Recovery Data </w:t>
      </w:r>
      <w:r>
        <w:lastRenderedPageBreak/>
        <w:t>maintained by HUD. The CDBG-DR program represents the main federal mechanism for long</w:t>
      </w:r>
      <w:r>
        <w:t>-term housing and infrastructure recovery following presidentially declared disasters and, therefore, contains the most detailed information on housing recovery timelines and resources allocated, whether at the county or project level. All HUD data will be</w:t>
      </w:r>
      <w:r>
        <w:t xml:space="preserve"> accessed via HUD's Pubic Data Portal, filtered by the three states included in the sample, and filtered by the ten-year timeframe of the study. The period between the disaster declaration and the completion date of the project will provide the length of t</w:t>
      </w:r>
      <w:r>
        <w:t>ime it took to recover each time an event occurs. Combining data from HUD on housing recovery and FEMA on individual assistance will provide a more complete view of recovery equity since immediate assistance has also been made available for long-term inves</w:t>
      </w:r>
      <w:r>
        <w:t>tment in the recovery process. The combination of these two data sources will be particularly useful for answering the second sub-question related to coordination mechanisms and housing recovery disparities.</w:t>
      </w:r>
    </w:p>
    <w:p w14:paraId="1C6799CD" w14:textId="77777777" w:rsidR="0078328A" w:rsidRDefault="002A4F2F" w:rsidP="0078328A">
      <w:pPr>
        <w:spacing w:line="480" w:lineRule="auto"/>
        <w:ind w:firstLine="720"/>
        <w:jc w:val="both"/>
      </w:pPr>
      <w:r w:rsidRPr="00FB3965">
        <w:t>Data will be analyzed through a third data colle</w:t>
      </w:r>
      <w:r w:rsidRPr="00FB3965">
        <w:t>ction method, content analysis of AAR and federal audit documents, to understand the extent to which interagency coordination occurred during recovery from flood, tornado, and polar vortex events from 2015 to 2025 in Illinois, Indiana, and Wisconsin. After</w:t>
      </w:r>
      <w:r w:rsidRPr="00FB3965">
        <w:t>-action reports are written by the state emergency management agencies and are a systematic review of the coordination successes and failures, and recommendations for improvement after an event. AARs for Illinois, Indiana, and Wisconsin can be found on eac</w:t>
      </w:r>
      <w:r w:rsidRPr="00FB3965">
        <w:t xml:space="preserve">h state's emergency management agency website and on the Lessons Learned Information Sharing (LLIS) platform maintained by the Department of Homeland Security. A sample of AARs for the major flooding, tornado, and polar vortex events in Illinois, Indiana, </w:t>
      </w:r>
      <w:r w:rsidRPr="00FB3965">
        <w:t xml:space="preserve">and Wisconsin will be collected and analyzed based on a standardized coding rubric based on the coordination quality framework of Comfort, </w:t>
      </w:r>
      <w:proofErr w:type="spellStart"/>
      <w:r w:rsidRPr="00FB3965">
        <w:t>Boin</w:t>
      </w:r>
      <w:proofErr w:type="spellEnd"/>
      <w:r w:rsidRPr="00FB3965">
        <w:t xml:space="preserve">, and </w:t>
      </w:r>
      <w:proofErr w:type="spellStart"/>
      <w:r w:rsidRPr="00FB3965">
        <w:t>Demchak</w:t>
      </w:r>
      <w:proofErr w:type="spellEnd"/>
      <w:r w:rsidRPr="00FB3965">
        <w:t xml:space="preserve"> (2020). Each AAR will be rated using three coding dimensions: </w:t>
      </w:r>
      <w:r w:rsidRPr="00FB3965">
        <w:lastRenderedPageBreak/>
        <w:t>Quality of Communication Integration,</w:t>
      </w:r>
      <w:r w:rsidRPr="00FB3965">
        <w:t xml:space="preserve"> Quality of Operational Alignment, and Quality of Equity Responsiveness. To assess inter-coder reliability, twenty percent of the AARs will be double-coded with a targeted kappa level of 0.80. GAO performance audit reports evaluating FEMA and HUD disaster </w:t>
      </w:r>
      <w:r w:rsidRPr="00FB3965">
        <w:t>recovery programs in Illinois, Indiana, and Wisconsin will also provide independent assessments of the coordination quality, and therefore provide an operationalized measure of interagency coordination effectiveness, the independent variable of interest.</w:t>
      </w:r>
    </w:p>
    <w:p w14:paraId="2EFED40B" w14:textId="68E460EF" w:rsidR="0078328A" w:rsidRPr="0078328A" w:rsidRDefault="002A4F2F" w:rsidP="0078328A">
      <w:pPr>
        <w:spacing w:line="480" w:lineRule="auto"/>
        <w:ind w:firstLine="720"/>
        <w:jc w:val="both"/>
      </w:pPr>
      <w:r w:rsidRPr="0078328A">
        <w:t>D</w:t>
      </w:r>
      <w:r w:rsidRPr="0078328A">
        <w:t xml:space="preserve">ata on the governance context will be gathered from several statutory sources: state budget documents and assessments from the National Emergency Management Association (NEMA). Statutes will be analyzed for each of the Illinois Emergency Management Agency </w:t>
      </w:r>
      <w:r w:rsidRPr="0078328A">
        <w:t>Act, Indiana Emergency Management and Disaster Law, and Wisconsin's Emergency Management Act to assign each the appropriate authority score. Ultimately, these scores will be used to identify the level of authority that the Governor has over the creation an</w:t>
      </w:r>
      <w:r w:rsidRPr="0078328A">
        <w:t>d operation of an agency, the legislative requirement for Inter-agency cooperation, and also the resources made available to the leadership of that agency. The data from state budgets will provide a measure of emergency management agency budgets (as a % of</w:t>
      </w:r>
      <w:r w:rsidRPr="0078328A">
        <w:t xml:space="preserve"> total appropriations) across the 10-year window (2015-2025), thus establishing a longitudinal trend in state investment priority in emergency management. Data from both the NEMA annual assessments and the EMAP standards will serve as benchmarks for evalua</w:t>
      </w:r>
      <w:r w:rsidRPr="0078328A">
        <w:t>ting State emergency management capabilities, using multiple dimensions. All of the governance data and data from fiscal capacity will be collected from sources compiled within the U.S. Census Bureau's annual survey of state government finances. All of the</w:t>
      </w:r>
      <w:r w:rsidRPr="0078328A">
        <w:t xml:space="preserve"> governance context data will be compiled into a composite index that will be used as the main independent variable in the regression analysis. Therefore, the data collection strategy identified above answers the first </w:t>
      </w:r>
      <w:r w:rsidRPr="0078328A">
        <w:lastRenderedPageBreak/>
        <w:t>sub-question posed in the original re</w:t>
      </w:r>
      <w:r w:rsidRPr="0078328A">
        <w:t>search question, as well as providing the necessary institutional context in which to interpret the findings from the regression analysis.</w:t>
      </w:r>
    </w:p>
    <w:p w14:paraId="485CD4BD" w14:textId="408AFC53" w:rsidR="0029749B" w:rsidRDefault="002A4F2F" w:rsidP="0078328A">
      <w:pPr>
        <w:pStyle w:val="Heading1"/>
        <w:jc w:val="center"/>
      </w:pPr>
      <w:r>
        <w:t>Conclusion</w:t>
      </w:r>
    </w:p>
    <w:p w14:paraId="0CF078DC" w14:textId="0644B3D2" w:rsidR="00DC4ED0" w:rsidRDefault="002A4F2F" w:rsidP="00C33C14">
      <w:pPr>
        <w:pStyle w:val="Heading1"/>
        <w:spacing w:line="480" w:lineRule="auto"/>
        <w:ind w:firstLine="720"/>
        <w:rPr>
          <w:b w:val="0"/>
          <w:bCs w:val="0"/>
          <w:color w:val="auto"/>
        </w:rPr>
      </w:pPr>
      <w:r w:rsidRPr="00DC4ED0">
        <w:rPr>
          <w:b w:val="0"/>
          <w:bCs w:val="0"/>
          <w:color w:val="auto"/>
        </w:rPr>
        <w:t xml:space="preserve">To explore the central research question of how governance context and effective interagency coordination </w:t>
      </w:r>
      <w:r w:rsidRPr="00DC4ED0">
        <w:rPr>
          <w:b w:val="0"/>
          <w:bCs w:val="0"/>
          <w:color w:val="auto"/>
        </w:rPr>
        <w:t>have an impact on achieving equitable disaster recovery outcomes in Illinois, Indiana, and Wisconsin, this capstone has chosen to utilize a quantitative comparative policy analysis design (multivariate regression, equity gap analysis, and GIS spatial mappi</w:t>
      </w:r>
      <w:r w:rsidRPr="00DC4ED0">
        <w:rPr>
          <w:b w:val="0"/>
          <w:bCs w:val="0"/>
          <w:color w:val="auto"/>
        </w:rPr>
        <w:t>ng). This design directly correlates with the original research question, has empirical support from the extant methodological literature, and is based on four publicly available federal and state data sources. Each of the sub-questions is examined through</w:t>
      </w:r>
      <w:r w:rsidRPr="00DC4ED0">
        <w:rPr>
          <w:b w:val="0"/>
          <w:bCs w:val="0"/>
          <w:color w:val="auto"/>
        </w:rPr>
        <w:t xml:space="preserve"> a specific data collection method, and when aggregated, the data from all three approaches will give breadth and depth of evidence to develop actionable recommendations on achieving disaster recovery equity across the tri-state area.</w:t>
      </w:r>
      <w:r>
        <w:rPr>
          <w:b w:val="0"/>
          <w:bCs w:val="0"/>
          <w:color w:val="auto"/>
        </w:rPr>
        <w:t xml:space="preserve"> </w:t>
      </w:r>
      <w:r w:rsidRPr="00DC4ED0">
        <w:rPr>
          <w:b w:val="0"/>
          <w:bCs w:val="0"/>
          <w:color w:val="auto"/>
        </w:rPr>
        <w:t xml:space="preserve">The study's emphasis </w:t>
      </w:r>
      <w:r w:rsidRPr="00DC4ED0">
        <w:rPr>
          <w:b w:val="0"/>
          <w:bCs w:val="0"/>
          <w:color w:val="auto"/>
        </w:rPr>
        <w:t xml:space="preserve">on the inland flooding, tornado alley shift, and polar vortex events that have been recurrent threats to regions of the United States bordering the Great Lakes illustrates the urgent and evolving climate hazard landscape confronting these states, and will </w:t>
      </w:r>
      <w:r w:rsidRPr="00DC4ED0">
        <w:rPr>
          <w:b w:val="0"/>
          <w:bCs w:val="0"/>
          <w:color w:val="auto"/>
        </w:rPr>
        <w:t>therefore provide practical utility to public administrators charged with emergency management, intergovernmental coordination, and establishing right service delivery in light of increased frequency and intensity of disasters.</w:t>
      </w:r>
    </w:p>
    <w:p w14:paraId="796A8985" w14:textId="77777777" w:rsidR="00DC4ED0" w:rsidRDefault="002A4F2F">
      <w:r>
        <w:rPr>
          <w:b/>
          <w:bCs/>
        </w:rPr>
        <w:br w:type="page"/>
      </w:r>
    </w:p>
    <w:p w14:paraId="18DB8901" w14:textId="0059359D" w:rsidR="0029749B" w:rsidRDefault="002A4F2F" w:rsidP="00C33C14">
      <w:pPr>
        <w:pStyle w:val="Heading1"/>
        <w:jc w:val="center"/>
      </w:pPr>
      <w:r>
        <w:lastRenderedPageBreak/>
        <w:t>References</w:t>
      </w:r>
    </w:p>
    <w:p w14:paraId="2A706E36" w14:textId="77777777" w:rsidR="00C33C14" w:rsidRDefault="00C33C14" w:rsidP="00C33C14">
      <w:pPr>
        <w:pStyle w:val="NormalWeb"/>
        <w:spacing w:before="0" w:beforeAutospacing="0" w:after="0" w:afterAutospacing="0" w:line="480" w:lineRule="auto"/>
        <w:ind w:left="720" w:hanging="720"/>
      </w:pPr>
      <w:proofErr w:type="spellStart"/>
      <w:r>
        <w:t>Afargan</w:t>
      </w:r>
      <w:proofErr w:type="spellEnd"/>
      <w:r>
        <w:t xml:space="preserve">-Gerstman, H., &amp; </w:t>
      </w:r>
      <w:proofErr w:type="spellStart"/>
      <w:r>
        <w:t>Domeisen</w:t>
      </w:r>
      <w:proofErr w:type="spellEnd"/>
      <w:r>
        <w:t xml:space="preserve">, D. I. V. (2025). Winter stratospheric extreme events impact European storm damage. </w:t>
      </w:r>
      <w:r>
        <w:rPr>
          <w:i/>
          <w:iCs/>
        </w:rPr>
        <w:t>Communications Earth &amp; Environment</w:t>
      </w:r>
      <w:r>
        <w:t xml:space="preserve">, </w:t>
      </w:r>
      <w:r>
        <w:rPr>
          <w:i/>
          <w:iCs/>
        </w:rPr>
        <w:t>6</w:t>
      </w:r>
      <w:r>
        <w:t>(1). https://doi.org/10.1038/s43247-025-02431-w</w:t>
      </w:r>
    </w:p>
    <w:p w14:paraId="3640D5B3" w14:textId="77777777" w:rsidR="00C33C14" w:rsidRDefault="00C33C14" w:rsidP="00C33C14">
      <w:pPr>
        <w:pStyle w:val="NormalWeb"/>
        <w:spacing w:before="0" w:beforeAutospacing="0" w:after="0" w:afterAutospacing="0" w:line="480" w:lineRule="auto"/>
        <w:ind w:left="720" w:hanging="720"/>
      </w:pPr>
      <w:r>
        <w:t xml:space="preserve">Cao, Z., Cai, H., &amp; Zhang, G. J. (2021). Geographic Shift and Environment Change of U.S. Tornado Activities in a Warming Climate. </w:t>
      </w:r>
      <w:r>
        <w:rPr>
          <w:i/>
          <w:iCs/>
        </w:rPr>
        <w:t>Atmosphere</w:t>
      </w:r>
      <w:r>
        <w:t xml:space="preserve">, </w:t>
      </w:r>
      <w:r>
        <w:rPr>
          <w:i/>
          <w:iCs/>
        </w:rPr>
        <w:t>12</w:t>
      </w:r>
      <w:r>
        <w:t>(5), 567. https://doi.org/10.3390/atmos12050567</w:t>
      </w:r>
    </w:p>
    <w:p w14:paraId="705303D3" w14:textId="77777777" w:rsidR="00C33C14" w:rsidRDefault="00C33C14" w:rsidP="00C33C14">
      <w:pPr>
        <w:pStyle w:val="NormalWeb"/>
        <w:spacing w:before="0" w:beforeAutospacing="0" w:after="0" w:afterAutospacing="0" w:line="480" w:lineRule="auto"/>
        <w:ind w:left="720" w:hanging="720"/>
      </w:pPr>
      <w:r>
        <w:t xml:space="preserve">Dave McKinney. (2022, January 10). </w:t>
      </w:r>
      <w:r>
        <w:rPr>
          <w:i/>
          <w:iCs/>
        </w:rPr>
        <w:t>Illinois is thought to be a blue state. So why is so much of the state so red?</w:t>
      </w:r>
      <w:r>
        <w:t xml:space="preserve"> STLPR. https://www.stlpr.org/government-politics-issues/2022-01-10/illinois-is-thought-to-be-a-blue-state-so-why-is-so-much-of-the-state-so-red</w:t>
      </w:r>
    </w:p>
    <w:p w14:paraId="3BC6A0A7" w14:textId="77777777" w:rsidR="00C33C14" w:rsidRDefault="00C33C14" w:rsidP="00C33C14">
      <w:pPr>
        <w:pStyle w:val="NormalWeb"/>
        <w:spacing w:before="0" w:beforeAutospacing="0" w:after="0" w:afterAutospacing="0" w:line="480" w:lineRule="auto"/>
        <w:ind w:left="720" w:hanging="720"/>
      </w:pPr>
      <w:proofErr w:type="spellStart"/>
      <w:r>
        <w:t>Guswin</w:t>
      </w:r>
      <w:proofErr w:type="spellEnd"/>
      <w:r>
        <w:t xml:space="preserve"> de Wee. (2021). Comparative Policy Analysis and the Science of Conceptual Systems: A Candidate Pathway to a Common Variable. </w:t>
      </w:r>
      <w:r>
        <w:rPr>
          <w:i/>
          <w:iCs/>
        </w:rPr>
        <w:t>Foundations of Science</w:t>
      </w:r>
      <w:r>
        <w:t xml:space="preserve">, </w:t>
      </w:r>
      <w:r>
        <w:rPr>
          <w:i/>
          <w:iCs/>
        </w:rPr>
        <w:t>27</w:t>
      </w:r>
      <w:r>
        <w:t>(2), 287–304. https://doi.org/10.1007/s10699-021-09782-5</w:t>
      </w:r>
    </w:p>
    <w:p w14:paraId="4E0DE8D4" w14:textId="77777777" w:rsidR="00C33C14" w:rsidRDefault="00C33C14" w:rsidP="00C33C14">
      <w:pPr>
        <w:pStyle w:val="NormalWeb"/>
        <w:spacing w:before="0" w:beforeAutospacing="0" w:after="0" w:afterAutospacing="0" w:line="480" w:lineRule="auto"/>
        <w:ind w:left="720" w:hanging="720"/>
      </w:pPr>
      <w:r>
        <w:rPr>
          <w:i/>
          <w:iCs/>
        </w:rPr>
        <w:t>Inland Flooding | U.S. Climate Resilience Toolkit</w:t>
      </w:r>
      <w:r>
        <w:t>. (2017). Climate.gov. https://toolkit.climate.gov/inland-flooding</w:t>
      </w:r>
    </w:p>
    <w:p w14:paraId="06A9F5C5" w14:textId="77777777" w:rsidR="00C33C14" w:rsidRDefault="00C33C14" w:rsidP="00C33C14">
      <w:pPr>
        <w:pStyle w:val="NormalWeb"/>
        <w:spacing w:before="0" w:beforeAutospacing="0" w:after="0" w:afterAutospacing="0" w:line="480" w:lineRule="auto"/>
        <w:ind w:left="720" w:hanging="720"/>
      </w:pPr>
      <w:proofErr w:type="spellStart"/>
      <w:r>
        <w:t>Rizk</w:t>
      </w:r>
      <w:proofErr w:type="spellEnd"/>
      <w:r>
        <w:t xml:space="preserve">, A., &amp; Lindgren, I. (2025). Automated decision-making in public administration: Changing the decision space between public officials and citizens. </w:t>
      </w:r>
      <w:r>
        <w:rPr>
          <w:i/>
          <w:iCs/>
        </w:rPr>
        <w:t>Government Information Quarterly</w:t>
      </w:r>
      <w:r>
        <w:t xml:space="preserve">, </w:t>
      </w:r>
      <w:r>
        <w:rPr>
          <w:i/>
          <w:iCs/>
        </w:rPr>
        <w:t>42</w:t>
      </w:r>
      <w:r>
        <w:t>(3), 102061. https://doi.org/10.1016/j.giq.2025.102061</w:t>
      </w:r>
    </w:p>
    <w:p w14:paraId="4146377F" w14:textId="77777777" w:rsidR="00C33C14" w:rsidRDefault="00C33C14" w:rsidP="00C33C14">
      <w:pPr>
        <w:pStyle w:val="NormalWeb"/>
        <w:spacing w:before="0" w:beforeAutospacing="0" w:after="0" w:afterAutospacing="0" w:line="480" w:lineRule="auto"/>
        <w:ind w:left="720" w:hanging="720"/>
      </w:pPr>
      <w:r>
        <w:t xml:space="preserve">Slater, P., &amp; Hasson, F. (2024). Quantitative Research Designs, Hierarchy of Evidence and Validity. </w:t>
      </w:r>
      <w:r>
        <w:rPr>
          <w:i/>
          <w:iCs/>
        </w:rPr>
        <w:t>Journal of Psychiatric and Mental Health Nursing</w:t>
      </w:r>
      <w:r>
        <w:t xml:space="preserve">, </w:t>
      </w:r>
      <w:r>
        <w:rPr>
          <w:i/>
          <w:iCs/>
        </w:rPr>
        <w:t>32</w:t>
      </w:r>
      <w:r>
        <w:t>(3), 656–660. https://doi.org/10.1111/jpm.13135</w:t>
      </w:r>
    </w:p>
    <w:p w14:paraId="68229F01" w14:textId="0A7E2C96" w:rsidR="00C33C14" w:rsidRDefault="00C33C14" w:rsidP="00C33C14">
      <w:pPr>
        <w:pStyle w:val="NormalWeb"/>
        <w:spacing w:before="0" w:beforeAutospacing="0" w:after="0" w:afterAutospacing="0" w:line="480" w:lineRule="auto"/>
        <w:ind w:left="720" w:hanging="720"/>
      </w:pPr>
      <w:r>
        <w:t xml:space="preserve">Wei, R.-Z., Liu, X.-Y., &amp; </w:t>
      </w:r>
      <w:proofErr w:type="spellStart"/>
      <w:r>
        <w:t>Lyu</w:t>
      </w:r>
      <w:proofErr w:type="spellEnd"/>
      <w:r>
        <w:t xml:space="preserve">, P.-H. (2024). Bibliometrics of public administration research hotspots: topic keywords, author keywords, keywords plus analysis. </w:t>
      </w:r>
      <w:proofErr w:type="spellStart"/>
      <w:r>
        <w:rPr>
          <w:i/>
          <w:iCs/>
        </w:rPr>
        <w:t>Heliyon</w:t>
      </w:r>
      <w:proofErr w:type="spellEnd"/>
      <w:r>
        <w:t xml:space="preserve">, </w:t>
      </w:r>
      <w:r>
        <w:rPr>
          <w:i/>
          <w:iCs/>
        </w:rPr>
        <w:t>10</w:t>
      </w:r>
      <w:r>
        <w:t xml:space="preserve">(21), e39352–e39352. </w:t>
      </w:r>
      <w:hyperlink r:id="rId7" w:history="1">
        <w:r w:rsidRPr="00185645">
          <w:rPr>
            <w:rStyle w:val="Hyperlink"/>
          </w:rPr>
          <w:t>https://doi.org/10.1016/j.heliyon.2024.e39352</w:t>
        </w:r>
      </w:hyperlink>
    </w:p>
    <w:p w14:paraId="6E59BFBD" w14:textId="5584F11C" w:rsidR="0029749B" w:rsidRDefault="002A4F2F" w:rsidP="00C33C14">
      <w:pPr>
        <w:pStyle w:val="NormalWeb"/>
        <w:spacing w:before="0" w:beforeAutospacing="0" w:after="0" w:afterAutospacing="0" w:line="480" w:lineRule="auto"/>
        <w:ind w:left="720" w:hanging="720"/>
      </w:pPr>
      <w:r>
        <w:lastRenderedPageBreak/>
        <w:t>Wise, C. R., &amp; Nader, R. (2002). Organizing the federal system for homeland security: Problems, issues, and dilemmas. Public Administration Review, 62(s1), 44</w:t>
      </w:r>
      <w:r>
        <w:t>–57. https://doi.org/10.1111/1540-6210.62.s1.8</w:t>
      </w:r>
    </w:p>
    <w:sectPr w:rsidR="0029749B">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C9FF" w14:textId="77777777" w:rsidR="002A4F2F" w:rsidRDefault="002A4F2F" w:rsidP="007D7D46">
      <w:r>
        <w:separator/>
      </w:r>
    </w:p>
  </w:endnote>
  <w:endnote w:type="continuationSeparator" w:id="0">
    <w:p w14:paraId="035D9DF8" w14:textId="77777777" w:rsidR="002A4F2F" w:rsidRDefault="002A4F2F" w:rsidP="007D7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5B23D" w14:textId="77777777" w:rsidR="002A4F2F" w:rsidRDefault="002A4F2F" w:rsidP="007D7D46">
      <w:r>
        <w:separator/>
      </w:r>
    </w:p>
  </w:footnote>
  <w:footnote w:type="continuationSeparator" w:id="0">
    <w:p w14:paraId="1B7D689F" w14:textId="77777777" w:rsidR="002A4F2F" w:rsidRDefault="002A4F2F" w:rsidP="007D7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2412005"/>
      <w:docPartObj>
        <w:docPartGallery w:val="Page Numbers (Top of Page)"/>
        <w:docPartUnique/>
      </w:docPartObj>
    </w:sdtPr>
    <w:sdtEndPr>
      <w:rPr>
        <w:noProof/>
      </w:rPr>
    </w:sdtEndPr>
    <w:sdtContent>
      <w:p w14:paraId="2363C119" w14:textId="4EDCF25D" w:rsidR="007D7D46" w:rsidRDefault="007D7D4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D01C038" w14:textId="77777777" w:rsidR="007D7D46" w:rsidRDefault="007D7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F1824"/>
    <w:multiLevelType w:val="hybridMultilevel"/>
    <w:tmpl w:val="8CDE8BB6"/>
    <w:lvl w:ilvl="0" w:tplc="992498A4">
      <w:start w:val="1"/>
      <w:numFmt w:val="bullet"/>
      <w:lvlText w:val="●"/>
      <w:lvlJc w:val="left"/>
      <w:pPr>
        <w:ind w:left="720" w:hanging="360"/>
      </w:pPr>
    </w:lvl>
    <w:lvl w:ilvl="1" w:tplc="3396510C">
      <w:start w:val="1"/>
      <w:numFmt w:val="bullet"/>
      <w:lvlText w:val="○"/>
      <w:lvlJc w:val="left"/>
      <w:pPr>
        <w:ind w:left="1440" w:hanging="360"/>
      </w:pPr>
    </w:lvl>
    <w:lvl w:ilvl="2" w:tplc="9FF4DE72">
      <w:start w:val="1"/>
      <w:numFmt w:val="bullet"/>
      <w:lvlText w:val="■"/>
      <w:lvlJc w:val="left"/>
      <w:pPr>
        <w:ind w:left="2160" w:hanging="360"/>
      </w:pPr>
    </w:lvl>
    <w:lvl w:ilvl="3" w:tplc="61183126">
      <w:start w:val="1"/>
      <w:numFmt w:val="bullet"/>
      <w:lvlText w:val="●"/>
      <w:lvlJc w:val="left"/>
      <w:pPr>
        <w:ind w:left="2880" w:hanging="360"/>
      </w:pPr>
    </w:lvl>
    <w:lvl w:ilvl="4" w:tplc="F6BE860A">
      <w:start w:val="1"/>
      <w:numFmt w:val="bullet"/>
      <w:lvlText w:val="○"/>
      <w:lvlJc w:val="left"/>
      <w:pPr>
        <w:ind w:left="3600" w:hanging="360"/>
      </w:pPr>
    </w:lvl>
    <w:lvl w:ilvl="5" w:tplc="A1827A94">
      <w:start w:val="1"/>
      <w:numFmt w:val="bullet"/>
      <w:lvlText w:val="■"/>
      <w:lvlJc w:val="left"/>
      <w:pPr>
        <w:ind w:left="4320" w:hanging="360"/>
      </w:pPr>
    </w:lvl>
    <w:lvl w:ilvl="6" w:tplc="FEF0DD22">
      <w:start w:val="1"/>
      <w:numFmt w:val="bullet"/>
      <w:lvlText w:val="●"/>
      <w:lvlJc w:val="left"/>
      <w:pPr>
        <w:ind w:left="5040" w:hanging="360"/>
      </w:pPr>
    </w:lvl>
    <w:lvl w:ilvl="7" w:tplc="F7286692">
      <w:start w:val="1"/>
      <w:numFmt w:val="bullet"/>
      <w:lvlText w:val="●"/>
      <w:lvlJc w:val="left"/>
      <w:pPr>
        <w:ind w:left="5760" w:hanging="360"/>
      </w:pPr>
    </w:lvl>
    <w:lvl w:ilvl="8" w:tplc="4B1CDD7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49B"/>
    <w:rsid w:val="0009351B"/>
    <w:rsid w:val="00112B55"/>
    <w:rsid w:val="00182F70"/>
    <w:rsid w:val="00286257"/>
    <w:rsid w:val="0029749B"/>
    <w:rsid w:val="002A4F2F"/>
    <w:rsid w:val="00352410"/>
    <w:rsid w:val="003D35DB"/>
    <w:rsid w:val="004061AB"/>
    <w:rsid w:val="004675A3"/>
    <w:rsid w:val="005C00D4"/>
    <w:rsid w:val="005D737D"/>
    <w:rsid w:val="006745CE"/>
    <w:rsid w:val="006F4343"/>
    <w:rsid w:val="0078328A"/>
    <w:rsid w:val="007D7D46"/>
    <w:rsid w:val="008E2B3C"/>
    <w:rsid w:val="00B564A7"/>
    <w:rsid w:val="00C33C14"/>
    <w:rsid w:val="00C75637"/>
    <w:rsid w:val="00D769BF"/>
    <w:rsid w:val="00DB7EE5"/>
    <w:rsid w:val="00DC4ED0"/>
    <w:rsid w:val="00E53727"/>
    <w:rsid w:val="00EF3F95"/>
    <w:rsid w:val="00EF42BD"/>
    <w:rsid w:val="00FB3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BE857"/>
  <w15:docId w15:val="{E66F2EC0-6600-486C-AD38-173D0B8CE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b/>
      <w:bCs/>
      <w:color w:val="00000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7D46"/>
    <w:pPr>
      <w:tabs>
        <w:tab w:val="center" w:pos="4680"/>
        <w:tab w:val="right" w:pos="9360"/>
      </w:tabs>
    </w:pPr>
  </w:style>
  <w:style w:type="character" w:customStyle="1" w:styleId="HeaderChar">
    <w:name w:val="Header Char"/>
    <w:basedOn w:val="DefaultParagraphFont"/>
    <w:link w:val="Header"/>
    <w:uiPriority w:val="99"/>
    <w:rsid w:val="007D7D46"/>
  </w:style>
  <w:style w:type="paragraph" w:styleId="Footer">
    <w:name w:val="footer"/>
    <w:basedOn w:val="Normal"/>
    <w:link w:val="FooterChar"/>
    <w:uiPriority w:val="99"/>
    <w:unhideWhenUsed/>
    <w:rsid w:val="007D7D46"/>
    <w:pPr>
      <w:tabs>
        <w:tab w:val="center" w:pos="4680"/>
        <w:tab w:val="right" w:pos="9360"/>
      </w:tabs>
    </w:pPr>
  </w:style>
  <w:style w:type="character" w:customStyle="1" w:styleId="FooterChar">
    <w:name w:val="Footer Char"/>
    <w:basedOn w:val="DefaultParagraphFont"/>
    <w:link w:val="Footer"/>
    <w:uiPriority w:val="99"/>
    <w:rsid w:val="007D7D46"/>
  </w:style>
  <w:style w:type="paragraph" w:styleId="NormalWeb">
    <w:name w:val="Normal (Web)"/>
    <w:basedOn w:val="Normal"/>
    <w:uiPriority w:val="99"/>
    <w:unhideWhenUsed/>
    <w:rsid w:val="00C33C14"/>
    <w:pPr>
      <w:spacing w:before="100" w:beforeAutospacing="1" w:after="100" w:afterAutospacing="1"/>
    </w:pPr>
  </w:style>
  <w:style w:type="character" w:styleId="UnresolvedMention">
    <w:name w:val="Unresolved Mention"/>
    <w:basedOn w:val="DefaultParagraphFont"/>
    <w:uiPriority w:val="99"/>
    <w:semiHidden/>
    <w:unhideWhenUsed/>
    <w:rsid w:val="00C3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95669">
      <w:bodyDiv w:val="1"/>
      <w:marLeft w:val="0"/>
      <w:marRight w:val="0"/>
      <w:marTop w:val="0"/>
      <w:marBottom w:val="0"/>
      <w:divBdr>
        <w:top w:val="none" w:sz="0" w:space="0" w:color="auto"/>
        <w:left w:val="none" w:sz="0" w:space="0" w:color="auto"/>
        <w:bottom w:val="none" w:sz="0" w:space="0" w:color="auto"/>
        <w:right w:val="none" w:sz="0" w:space="0" w:color="auto"/>
      </w:divBdr>
    </w:div>
    <w:div w:id="1397821683">
      <w:bodyDiv w:val="1"/>
      <w:marLeft w:val="0"/>
      <w:marRight w:val="0"/>
      <w:marTop w:val="0"/>
      <w:marBottom w:val="0"/>
      <w:divBdr>
        <w:top w:val="none" w:sz="0" w:space="0" w:color="auto"/>
        <w:left w:val="none" w:sz="0" w:space="0" w:color="auto"/>
        <w:bottom w:val="none" w:sz="0" w:space="0" w:color="auto"/>
        <w:right w:val="none" w:sz="0" w:space="0" w:color="auto"/>
      </w:divBdr>
    </w:div>
    <w:div w:id="1455060197">
      <w:bodyDiv w:val="1"/>
      <w:marLeft w:val="0"/>
      <w:marRight w:val="0"/>
      <w:marTop w:val="0"/>
      <w:marBottom w:val="0"/>
      <w:divBdr>
        <w:top w:val="none" w:sz="0" w:space="0" w:color="auto"/>
        <w:left w:val="none" w:sz="0" w:space="0" w:color="auto"/>
        <w:bottom w:val="none" w:sz="0" w:space="0" w:color="auto"/>
        <w:right w:val="none" w:sz="0" w:space="0" w:color="auto"/>
      </w:divBdr>
    </w:div>
    <w:div w:id="1642535589">
      <w:bodyDiv w:val="1"/>
      <w:marLeft w:val="0"/>
      <w:marRight w:val="0"/>
      <w:marTop w:val="0"/>
      <w:marBottom w:val="0"/>
      <w:divBdr>
        <w:top w:val="none" w:sz="0" w:space="0" w:color="auto"/>
        <w:left w:val="none" w:sz="0" w:space="0" w:color="auto"/>
        <w:bottom w:val="none" w:sz="0" w:space="0" w:color="auto"/>
        <w:right w:val="none" w:sz="0" w:space="0" w:color="auto"/>
      </w:divBdr>
      <w:divsChild>
        <w:div w:id="1612779250">
          <w:marLeft w:val="-72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1016/j.heliyon.2024.e393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13</Pages>
  <Words>3273</Words>
  <Characters>18658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24</cp:revision>
  <dcterms:created xsi:type="dcterms:W3CDTF">2026-04-07T17:04:00Z</dcterms:created>
  <dcterms:modified xsi:type="dcterms:W3CDTF">2026-04-07T18:10:00Z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7e234780-079d-4ed4-8058-47b7120809f5</vt:lpwstr>
  </property>
</Properties>
</file>