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26" w:rsidRDefault="007A6F26" w:rsidP="00DB1A34">
      <w:pPr>
        <w:spacing w:after="0" w:line="480" w:lineRule="auto"/>
        <w:jc w:val="center"/>
        <w:rPr>
          <w:rFonts w:cs="Times New Roman"/>
          <w:b/>
          <w:szCs w:val="24"/>
        </w:rPr>
      </w:pPr>
    </w:p>
    <w:p w:rsidR="007A6F26" w:rsidRDefault="007A6F26" w:rsidP="00DB1A34">
      <w:pPr>
        <w:spacing w:after="0" w:line="480" w:lineRule="auto"/>
        <w:jc w:val="center"/>
        <w:rPr>
          <w:rFonts w:cs="Times New Roman"/>
          <w:b/>
          <w:szCs w:val="24"/>
        </w:rPr>
      </w:pPr>
    </w:p>
    <w:p w:rsidR="007A6F26" w:rsidRDefault="007A6F26" w:rsidP="00DB1A34">
      <w:pPr>
        <w:spacing w:after="0" w:line="480" w:lineRule="auto"/>
        <w:jc w:val="center"/>
        <w:rPr>
          <w:rFonts w:cs="Times New Roman"/>
          <w:b/>
          <w:szCs w:val="24"/>
        </w:rPr>
      </w:pPr>
    </w:p>
    <w:p w:rsidR="007A6F26" w:rsidRDefault="007A6F26" w:rsidP="00DB1A34">
      <w:pPr>
        <w:spacing w:after="0" w:line="480" w:lineRule="auto"/>
        <w:jc w:val="center"/>
        <w:rPr>
          <w:rFonts w:cs="Times New Roman"/>
          <w:b/>
          <w:szCs w:val="24"/>
        </w:rPr>
      </w:pPr>
    </w:p>
    <w:p w:rsidR="00DB1A34" w:rsidRPr="00A6270D" w:rsidRDefault="00DB1A34" w:rsidP="00DB1A34">
      <w:pPr>
        <w:spacing w:after="0" w:line="480" w:lineRule="auto"/>
        <w:jc w:val="center"/>
        <w:rPr>
          <w:rFonts w:eastAsia="Times New Roman" w:cs="Times New Roman"/>
          <w:szCs w:val="24"/>
        </w:rPr>
      </w:pPr>
      <w:r w:rsidRPr="00A6270D">
        <w:rPr>
          <w:rFonts w:eastAsia="Times New Roman" w:cs="Times New Roman"/>
          <w:b/>
          <w:bCs/>
          <w:szCs w:val="24"/>
        </w:rPr>
        <w:t xml:space="preserve">Chronic </w:t>
      </w:r>
      <w:r>
        <w:rPr>
          <w:rFonts w:eastAsia="Times New Roman" w:cs="Times New Roman"/>
          <w:b/>
          <w:bCs/>
          <w:szCs w:val="24"/>
        </w:rPr>
        <w:t>Traumatic Encephalopathy (CTE)</w:t>
      </w:r>
    </w:p>
    <w:p w:rsidR="007A6F26" w:rsidRPr="00DF3B7C" w:rsidRDefault="007A6F26" w:rsidP="00DB1A34">
      <w:pPr>
        <w:spacing w:after="0" w:line="480" w:lineRule="auto"/>
        <w:jc w:val="center"/>
        <w:rPr>
          <w:rFonts w:eastAsia="Times New Roman" w:cs="Times New Roman"/>
          <w:b/>
          <w:szCs w:val="24"/>
        </w:rPr>
      </w:pPr>
    </w:p>
    <w:p w:rsidR="007A6F26" w:rsidRPr="00DF3B7C" w:rsidRDefault="007A6F26" w:rsidP="00DB1A34">
      <w:pPr>
        <w:spacing w:after="0" w:line="480" w:lineRule="auto"/>
        <w:jc w:val="center"/>
        <w:rPr>
          <w:rFonts w:cs="Times New Roman"/>
          <w:b/>
          <w:bCs/>
          <w:szCs w:val="24"/>
        </w:rPr>
      </w:pPr>
      <w:r w:rsidRPr="00DF3B7C">
        <w:rPr>
          <w:rFonts w:cs="Times New Roman"/>
          <w:color w:val="000000"/>
          <w:szCs w:val="24"/>
        </w:rPr>
        <w:t>Author Name</w:t>
      </w:r>
    </w:p>
    <w:p w:rsidR="007A6F26" w:rsidRPr="00DF3B7C" w:rsidRDefault="007A6F26" w:rsidP="00DB1A34">
      <w:pPr>
        <w:spacing w:after="0" w:line="480" w:lineRule="auto"/>
        <w:contextualSpacing/>
        <w:jc w:val="center"/>
        <w:rPr>
          <w:rFonts w:cs="Times New Roman"/>
          <w:color w:val="000000"/>
          <w:szCs w:val="24"/>
        </w:rPr>
      </w:pPr>
      <w:r w:rsidRPr="00DF3B7C">
        <w:rPr>
          <w:rFonts w:cs="Times New Roman"/>
          <w:color w:val="000000"/>
          <w:szCs w:val="24"/>
        </w:rPr>
        <w:t>Institution Name</w:t>
      </w:r>
    </w:p>
    <w:p w:rsidR="007A6F26" w:rsidRPr="00DF3B7C" w:rsidRDefault="007A6F26" w:rsidP="00DB1A34">
      <w:pPr>
        <w:spacing w:after="0" w:line="480" w:lineRule="auto"/>
        <w:contextualSpacing/>
        <w:jc w:val="center"/>
        <w:rPr>
          <w:rFonts w:cs="Times New Roman"/>
          <w:szCs w:val="24"/>
        </w:rPr>
      </w:pPr>
      <w:r w:rsidRPr="00DF3B7C">
        <w:rPr>
          <w:rFonts w:cs="Times New Roman"/>
          <w:szCs w:val="24"/>
        </w:rPr>
        <w:t>Course Name</w:t>
      </w:r>
    </w:p>
    <w:p w:rsidR="007A6F26" w:rsidRPr="00DF3B7C" w:rsidRDefault="007A6F26" w:rsidP="00DB1A34">
      <w:pPr>
        <w:spacing w:after="0" w:line="480" w:lineRule="auto"/>
        <w:contextualSpacing/>
        <w:jc w:val="center"/>
        <w:rPr>
          <w:rFonts w:cs="Times New Roman"/>
          <w:szCs w:val="24"/>
        </w:rPr>
      </w:pPr>
      <w:r w:rsidRPr="00DF3B7C">
        <w:rPr>
          <w:rFonts w:cs="Times New Roman"/>
          <w:szCs w:val="24"/>
        </w:rPr>
        <w:t>Instructor Name</w:t>
      </w:r>
    </w:p>
    <w:p w:rsidR="007A6F26" w:rsidRPr="00DF3B7C" w:rsidRDefault="007A6F26" w:rsidP="00DB1A34">
      <w:pPr>
        <w:pStyle w:val="NormalWeb"/>
        <w:spacing w:before="0" w:beforeAutospacing="0" w:after="0" w:afterAutospacing="0" w:line="480" w:lineRule="auto"/>
        <w:jc w:val="center"/>
      </w:pPr>
      <w:r w:rsidRPr="00DF3B7C">
        <w:t>Date</w:t>
      </w:r>
    </w:p>
    <w:p w:rsidR="007A6F26" w:rsidRPr="00DF3B7C" w:rsidRDefault="007A6F26" w:rsidP="00DB1A34">
      <w:pPr>
        <w:spacing w:after="0" w:line="480" w:lineRule="auto"/>
        <w:ind w:firstLine="720"/>
        <w:rPr>
          <w:rFonts w:cs="Times New Roman"/>
          <w:szCs w:val="24"/>
        </w:rPr>
      </w:pPr>
      <w:r w:rsidRPr="00DF3B7C">
        <w:rPr>
          <w:rFonts w:cs="Times New Roman"/>
          <w:szCs w:val="24"/>
        </w:rPr>
        <w:br w:type="page"/>
      </w:r>
    </w:p>
    <w:p w:rsidR="00A6270D" w:rsidRPr="00A6270D" w:rsidRDefault="00A6270D" w:rsidP="00DB1A34">
      <w:pPr>
        <w:spacing w:after="0" w:line="480" w:lineRule="auto"/>
        <w:jc w:val="center"/>
        <w:rPr>
          <w:rFonts w:eastAsia="Times New Roman" w:cs="Times New Roman"/>
          <w:szCs w:val="24"/>
        </w:rPr>
      </w:pPr>
      <w:r w:rsidRPr="00A6270D">
        <w:rPr>
          <w:rFonts w:eastAsia="Times New Roman" w:cs="Times New Roman"/>
          <w:b/>
          <w:bCs/>
          <w:szCs w:val="24"/>
        </w:rPr>
        <w:lastRenderedPageBreak/>
        <w:t xml:space="preserve">Chronic </w:t>
      </w:r>
      <w:r w:rsidR="00DB1A34">
        <w:rPr>
          <w:rFonts w:eastAsia="Times New Roman" w:cs="Times New Roman"/>
          <w:b/>
          <w:bCs/>
          <w:szCs w:val="24"/>
        </w:rPr>
        <w:t>Traumatic Encephalopathy (CTE)</w:t>
      </w:r>
    </w:p>
    <w:p w:rsidR="00DB1A34" w:rsidRPr="00DB1A34" w:rsidRDefault="00DB1A34" w:rsidP="00DB1A34">
      <w:pPr>
        <w:spacing w:after="0" w:line="480" w:lineRule="auto"/>
        <w:ind w:firstLine="720"/>
        <w:rPr>
          <w:rFonts w:eastAsia="Times New Roman" w:cs="Times New Roman"/>
          <w:szCs w:val="24"/>
        </w:rPr>
      </w:pPr>
      <w:bookmarkStart w:id="0" w:name="_GoBack"/>
      <w:r w:rsidRPr="00DB1A34">
        <w:rPr>
          <w:rFonts w:eastAsia="Times New Roman" w:cs="Times New Roman"/>
          <w:szCs w:val="24"/>
        </w:rPr>
        <w:t>Among the most threatening trends in the modern sports medicine practice is the increased awareness of Chronic Traumatic Encephal</w:t>
      </w:r>
      <w:r>
        <w:rPr>
          <w:rFonts w:eastAsia="Times New Roman" w:cs="Times New Roman"/>
          <w:szCs w:val="24"/>
        </w:rPr>
        <w:t>opathy, also referred to as CTE</w:t>
      </w:r>
      <w:r w:rsidRPr="00DB1A34">
        <w:rPr>
          <w:rFonts w:eastAsia="Times New Roman" w:cs="Times New Roman"/>
          <w:szCs w:val="24"/>
        </w:rPr>
        <w:t>. With millions of participants attracted either directly or indirectly to contact sports at all levels, youth leagues through professional arenas, the need to understand this condition has never been more obvious. CTE not only disrupts the physical health of the athletes but also the cognitive and emotional health of the individuals, in most instances, with disastrous results nearly impossible to trace back until several years later, the damage was already done.</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 xml:space="preserve">Contact sports have seen a growing number of athletes experience pronounced and unexplained behavior changes, raising serious concerns in the sports medicine domain. These are changes historically attributed to Chronic Traumatic Encephalopathy, also known as CTE, which is a progressive disorder of the brain induced by repeated head injuries and aided by the dangerous accumulation of abnormal proteins in the brain. With the popularity of contact sports drawing millions of players on both amateur and professional levels, it has grown progressively important in the context of understanding this condition. The impact of CTE on physical, cognitive, and emotional health is severe and serious in nature, and the effects of repeated head impacts may manifest several years later. </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 xml:space="preserve">CTE is an ongoing neurodegenerative disorder, mainly related to recurrent head traumas experienced during contact sports.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describe CTE as a progressive disorder that is mostly observed in athletes playing contact sports. This is important as it confirms that CTE is not a result of one devastating event but rather the cumulative effect of repeated trauma, that is, even the athletes who have never had a dramatic injury are at risk. The condition has been observed in football players, boxers, ice hockey players, and rugby athletes, among others.</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lastRenderedPageBreak/>
        <w:t xml:space="preserve">At the biological level, CTE is precipitated by an excessive accumulation of proteins in the brain. According to the CDC (2024), CTE is associated with the accumulation of abnormal proteins that destroy brain tissue and cause brain cells to undergo cell death. The damage is permanent and progressive since once brain cells are lost, they cannot be replaced.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also pinpoint phosphorylated tau protein as the initial cause that results in the formation of neurofibrillary tangles around small blood vessels in the brain. This biological fact indicates that even hits that are sub-concussive and do not produce any clear symptoms can be hazardous over a period due to the slow development of tau.</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 xml:space="preserve">The issue of diagnosis of CTE is one of the most problematic in sports medicine today.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confirm that currently, the only way to confirm a CTE diagnosis is by examining the brain after death. This implies that no athlete can be given a definite diagnosis when still alive, and therefore, it is impossible to intervene at a definite treatment stage in case the disease is already underway. By relying on the symptoms history, neurological examinations, and imaging techniques like PET scans, physicians make informed assumptions, but these tests can only eliminate other conditions and not confirm CTE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A lack of a well-developed and in-life diagnostic instrument is one of the most significant voids in the existing sports medicine research.</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 xml:space="preserve">The groups with prolonged exposure to repeated head impacts are most at risk. The group at the greatest risk are contact sport athletes, specifically the American football players, boxers, and ice hockey players. According to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neuropathological evidence of CTE has been documented in patients as young as 17 years old, showing that even athletes in their teenage years are not immune. At-risk populations also include military veterans and survivors of </w:t>
      </w:r>
      <w:r w:rsidRPr="00DB1A34">
        <w:rPr>
          <w:rFonts w:eastAsia="Times New Roman" w:cs="Times New Roman"/>
          <w:szCs w:val="24"/>
        </w:rPr>
        <w:lastRenderedPageBreak/>
        <w:t>domestic violence (CDC, 2024). This expanded interpretation takes CTE out of a purely sport-related discourse to a broader issue of population health.</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The lack of known cure and treatment of CTE makes prevention the most effective tool in use. According to the Korey Stringer Institute (</w:t>
      </w:r>
      <w:proofErr w:type="spellStart"/>
      <w:r w:rsidRPr="00DB1A34">
        <w:rPr>
          <w:rFonts w:eastAsia="Times New Roman" w:cs="Times New Roman"/>
          <w:szCs w:val="24"/>
        </w:rPr>
        <w:t>n.d.</w:t>
      </w:r>
      <w:proofErr w:type="spellEnd"/>
      <w:r w:rsidRPr="00DB1A34">
        <w:rPr>
          <w:rFonts w:eastAsia="Times New Roman" w:cs="Times New Roman"/>
          <w:szCs w:val="24"/>
        </w:rPr>
        <w:t xml:space="preserve">), protective equipment used by athletes must comply with established safety standards, including a NOCSAE-certified football helmet. Although helmets are insufficient to prevent the risk of CTE, the report by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indicates that since the introduction of the standards of NOCSAE, the number of fatalities decreased by 74%, and the number of severe head injuries dropped by 4.25 to 0.68 per 100,000 athletes. This statistic is a powerful illustration of how much equipment regulation can save lives, but also a very good indication that the lower-force repetitive impact that has been most closely linked to CTE is yet to be fully safeguarded by current equipment.</w:t>
      </w:r>
    </w:p>
    <w:p w:rsidR="00DB1A34" w:rsidRPr="00DB1A34" w:rsidRDefault="00DB1A34" w:rsidP="00DB1A34">
      <w:pPr>
        <w:spacing w:after="0" w:line="480" w:lineRule="auto"/>
        <w:ind w:firstLine="720"/>
        <w:rPr>
          <w:rFonts w:eastAsia="Times New Roman" w:cs="Times New Roman"/>
          <w:szCs w:val="24"/>
        </w:rPr>
      </w:pPr>
      <w:r w:rsidRPr="00DB1A34">
        <w:rPr>
          <w:rFonts w:eastAsia="Times New Roman" w:cs="Times New Roman"/>
          <w:szCs w:val="24"/>
        </w:rPr>
        <w:t xml:space="preserve">In addition to equipment, changes in rules and safer practice guidelines are significant. According to </w:t>
      </w:r>
      <w:proofErr w:type="spellStart"/>
      <w:r w:rsidRPr="00DB1A34">
        <w:rPr>
          <w:rFonts w:eastAsia="Times New Roman" w:cs="Times New Roman"/>
          <w:szCs w:val="24"/>
        </w:rPr>
        <w:t>Makhoul</w:t>
      </w:r>
      <w:proofErr w:type="spellEnd"/>
      <w:r w:rsidRPr="00DB1A34">
        <w:rPr>
          <w:rFonts w:eastAsia="Times New Roman" w:cs="Times New Roman"/>
          <w:szCs w:val="24"/>
        </w:rPr>
        <w:t xml:space="preserve"> et al. (2025), the key preventive measures identified include rule amendments and a decrease in full-contact time during practice. Similar points are made by the Korey Stringer Institute (</w:t>
      </w:r>
      <w:proofErr w:type="spellStart"/>
      <w:r w:rsidRPr="00DB1A34">
        <w:rPr>
          <w:rFonts w:eastAsia="Times New Roman" w:cs="Times New Roman"/>
          <w:szCs w:val="24"/>
        </w:rPr>
        <w:t>n.d.</w:t>
      </w:r>
      <w:proofErr w:type="spellEnd"/>
      <w:r w:rsidRPr="00DB1A34">
        <w:rPr>
          <w:rFonts w:eastAsia="Times New Roman" w:cs="Times New Roman"/>
          <w:szCs w:val="24"/>
        </w:rPr>
        <w:t>), which additionally emphasizes the necessity to place rules on safety and have medical personnel present during practices and games. These recommendations are based on the understanding that CTE prevention needs the collective effort of equipment, rules, medical ov</w:t>
      </w:r>
      <w:r>
        <w:rPr>
          <w:rFonts w:eastAsia="Times New Roman" w:cs="Times New Roman"/>
          <w:szCs w:val="24"/>
        </w:rPr>
        <w:t>ersight, and athlete education.</w:t>
      </w:r>
    </w:p>
    <w:p w:rsidR="007A6F26" w:rsidRDefault="00DB1A34" w:rsidP="00DB1A34">
      <w:pPr>
        <w:spacing w:after="0" w:line="480" w:lineRule="auto"/>
        <w:ind w:firstLine="720"/>
      </w:pPr>
      <w:r w:rsidRPr="00DB1A34">
        <w:rPr>
          <w:rFonts w:eastAsia="Times New Roman" w:cs="Times New Roman"/>
          <w:szCs w:val="24"/>
        </w:rPr>
        <w:t xml:space="preserve">In conclusion, CTE is a serious and irreversible brain disease posing a genuine threat to athletes at all levels. Its progression as a result of repetition of head trauma, in conjunction with the fact that no official in-life diagnosis can be made right now, makes prevention the cornerstone of any meaningful response. All coaches, athletic trainers, administrators, and even </w:t>
      </w:r>
      <w:r w:rsidRPr="00DB1A34">
        <w:rPr>
          <w:rFonts w:eastAsia="Times New Roman" w:cs="Times New Roman"/>
          <w:szCs w:val="24"/>
        </w:rPr>
        <w:lastRenderedPageBreak/>
        <w:t>the athletes themselves contribute to the construction of safer sporting environments that diminish the cumulative head trauma that causes this devastating condition.</w:t>
      </w:r>
      <w:bookmarkEnd w:id="0"/>
      <w:r w:rsidR="007A6F26">
        <w:br w:type="page"/>
      </w:r>
    </w:p>
    <w:p w:rsidR="00A6270D" w:rsidRDefault="00A6270D" w:rsidP="00DB1A34">
      <w:pPr>
        <w:spacing w:after="0" w:line="480" w:lineRule="auto"/>
        <w:jc w:val="center"/>
        <w:rPr>
          <w:rFonts w:eastAsia="Times New Roman" w:cs="Times New Roman"/>
          <w:b/>
          <w:bCs/>
          <w:szCs w:val="24"/>
        </w:rPr>
      </w:pPr>
      <w:r w:rsidRPr="00A6270D">
        <w:rPr>
          <w:rFonts w:eastAsia="Times New Roman" w:cs="Times New Roman"/>
          <w:b/>
          <w:bCs/>
          <w:szCs w:val="24"/>
        </w:rPr>
        <w:lastRenderedPageBreak/>
        <w:t>References</w:t>
      </w:r>
    </w:p>
    <w:p w:rsidR="00043941" w:rsidRPr="00043941" w:rsidRDefault="00043941" w:rsidP="00DB1A34">
      <w:pPr>
        <w:pStyle w:val="Bibliography"/>
      </w:pPr>
      <w:r w:rsidRPr="00043941">
        <w:t xml:space="preserve">CDC. (2024, July 11). </w:t>
      </w:r>
      <w:r w:rsidRPr="00043941">
        <w:rPr>
          <w:i/>
          <w:iCs/>
        </w:rPr>
        <w:t>About Repeated Head Impacts</w:t>
      </w:r>
      <w:r w:rsidRPr="00043941">
        <w:t>. Traumatic Brain Injury &amp; Concussion. https://www.cdc.gov/traumatic-brain-injury/about/repeated-head-impacts.html</w:t>
      </w:r>
    </w:p>
    <w:p w:rsidR="00043941" w:rsidRPr="00043941" w:rsidRDefault="00043941" w:rsidP="00DB1A34">
      <w:pPr>
        <w:pStyle w:val="Bibliography"/>
      </w:pPr>
      <w:proofErr w:type="spellStart"/>
      <w:r w:rsidRPr="00043941">
        <w:t>Kemuel</w:t>
      </w:r>
      <w:proofErr w:type="spellEnd"/>
      <w:r w:rsidRPr="00043941">
        <w:t xml:space="preserve">. (2024, April 20). </w:t>
      </w:r>
      <w:r w:rsidRPr="00043941">
        <w:rPr>
          <w:i/>
          <w:iCs/>
        </w:rPr>
        <w:t>Cervical Spine Injury | Korey Stringer Institute | College of Agriculture, Health and Natural Resources | University of Connecticut</w:t>
      </w:r>
      <w:r w:rsidRPr="00043941">
        <w:t>. https://koreystringer.institute.uconn.edu/cervical-spine-injury/</w:t>
      </w:r>
    </w:p>
    <w:p w:rsidR="00043941" w:rsidRPr="00043941" w:rsidRDefault="00043941" w:rsidP="00DB1A34">
      <w:pPr>
        <w:pStyle w:val="Bibliography"/>
      </w:pPr>
      <w:proofErr w:type="spellStart"/>
      <w:r w:rsidRPr="00043941">
        <w:t>Makhoul</w:t>
      </w:r>
      <w:proofErr w:type="spellEnd"/>
      <w:r w:rsidRPr="00043941">
        <w:t xml:space="preserve">, J. T., Nasr, A. G., </w:t>
      </w:r>
      <w:proofErr w:type="spellStart"/>
      <w:r w:rsidRPr="00043941">
        <w:t>Qazi</w:t>
      </w:r>
      <w:proofErr w:type="spellEnd"/>
      <w:r w:rsidRPr="00043941">
        <w:t xml:space="preserve">, Z. G., Piper, B. J., Ahmed, A. N., </w:t>
      </w:r>
      <w:proofErr w:type="spellStart"/>
      <w:r w:rsidRPr="00043941">
        <w:t>Javeed</w:t>
      </w:r>
      <w:proofErr w:type="spellEnd"/>
      <w:r w:rsidRPr="00043941">
        <w:t xml:space="preserve">, A., </w:t>
      </w:r>
      <w:proofErr w:type="spellStart"/>
      <w:r w:rsidRPr="00043941">
        <w:t>Makhoul</w:t>
      </w:r>
      <w:proofErr w:type="spellEnd"/>
      <w:r w:rsidRPr="00043941">
        <w:t xml:space="preserve">, J. T., Nasr, A., </w:t>
      </w:r>
      <w:proofErr w:type="spellStart"/>
      <w:r w:rsidRPr="00043941">
        <w:t>Qazi</w:t>
      </w:r>
      <w:proofErr w:type="spellEnd"/>
      <w:r w:rsidRPr="00043941">
        <w:t xml:space="preserve">, Z. G., Piper, B. J., Ahmed, A. N., &amp; </w:t>
      </w:r>
      <w:proofErr w:type="spellStart"/>
      <w:r w:rsidRPr="00043941">
        <w:t>Javeed</w:t>
      </w:r>
      <w:proofErr w:type="spellEnd"/>
      <w:r w:rsidRPr="00043941">
        <w:t xml:space="preserve">, A. (2025). Neurobiology and Impact of Chronic Traumatic Encephalopathy in Athletes: A Focused Review. </w:t>
      </w:r>
      <w:proofErr w:type="spellStart"/>
      <w:r w:rsidRPr="00043941">
        <w:rPr>
          <w:i/>
          <w:iCs/>
        </w:rPr>
        <w:t>Cureus</w:t>
      </w:r>
      <w:proofErr w:type="spellEnd"/>
      <w:r w:rsidRPr="00043941">
        <w:t xml:space="preserve">, </w:t>
      </w:r>
      <w:r w:rsidRPr="00043941">
        <w:rPr>
          <w:i/>
          <w:iCs/>
        </w:rPr>
        <w:t>17</w:t>
      </w:r>
      <w:r w:rsidRPr="00043941">
        <w:t>. https://doi.org/10.7759/cureus.86367</w:t>
      </w:r>
    </w:p>
    <w:p w:rsidR="006A02AC" w:rsidRPr="00043941" w:rsidRDefault="004F4817" w:rsidP="00DB1A34">
      <w:pPr>
        <w:spacing w:after="0" w:line="480" w:lineRule="auto"/>
        <w:rPr>
          <w:rFonts w:eastAsia="Times New Roman" w:cs="Times New Roman"/>
          <w:szCs w:val="24"/>
        </w:rPr>
      </w:pPr>
    </w:p>
    <w:sectPr w:rsidR="006A02AC" w:rsidRPr="000439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817" w:rsidRDefault="004F4817" w:rsidP="007A6F26">
      <w:pPr>
        <w:spacing w:after="0" w:line="240" w:lineRule="auto"/>
      </w:pPr>
      <w:r>
        <w:separator/>
      </w:r>
    </w:p>
  </w:endnote>
  <w:endnote w:type="continuationSeparator" w:id="0">
    <w:p w:rsidR="004F4817" w:rsidRDefault="004F4817" w:rsidP="007A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817" w:rsidRDefault="004F4817" w:rsidP="007A6F26">
      <w:pPr>
        <w:spacing w:after="0" w:line="240" w:lineRule="auto"/>
      </w:pPr>
      <w:r>
        <w:separator/>
      </w:r>
    </w:p>
  </w:footnote>
  <w:footnote w:type="continuationSeparator" w:id="0">
    <w:p w:rsidR="004F4817" w:rsidRDefault="004F4817" w:rsidP="007A6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17872"/>
      <w:docPartObj>
        <w:docPartGallery w:val="Page Numbers (Top of Page)"/>
        <w:docPartUnique/>
      </w:docPartObj>
    </w:sdtPr>
    <w:sdtEndPr>
      <w:rPr>
        <w:noProof/>
      </w:rPr>
    </w:sdtEndPr>
    <w:sdtContent>
      <w:p w:rsidR="007A6F26" w:rsidRDefault="007A6F26">
        <w:pPr>
          <w:pStyle w:val="Header"/>
          <w:jc w:val="right"/>
        </w:pPr>
        <w:r>
          <w:fldChar w:fldCharType="begin"/>
        </w:r>
        <w:r>
          <w:instrText xml:space="preserve"> PAGE   \* MERGEFORMAT </w:instrText>
        </w:r>
        <w:r>
          <w:fldChar w:fldCharType="separate"/>
        </w:r>
        <w:r w:rsidR="00DB1A34">
          <w:rPr>
            <w:noProof/>
          </w:rPr>
          <w:t>4</w:t>
        </w:r>
        <w:r>
          <w:rPr>
            <w:noProof/>
          </w:rPr>
          <w:fldChar w:fldCharType="end"/>
        </w:r>
      </w:p>
    </w:sdtContent>
  </w:sdt>
  <w:p w:rsidR="007A6F26" w:rsidRDefault="007A6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0D"/>
    <w:rsid w:val="00043941"/>
    <w:rsid w:val="002F172E"/>
    <w:rsid w:val="003D723C"/>
    <w:rsid w:val="00463973"/>
    <w:rsid w:val="004F4817"/>
    <w:rsid w:val="00514046"/>
    <w:rsid w:val="0059189F"/>
    <w:rsid w:val="00683231"/>
    <w:rsid w:val="007A6F26"/>
    <w:rsid w:val="009A1273"/>
    <w:rsid w:val="00A6270D"/>
    <w:rsid w:val="00DB1464"/>
    <w:rsid w:val="00DB1A34"/>
    <w:rsid w:val="00F9502B"/>
    <w:rsid w:val="00FB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545C2-DB77-425E-A2C8-63A44A96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627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6270D"/>
    <w:rPr>
      <w:b/>
      <w:bCs/>
    </w:rPr>
  </w:style>
  <w:style w:type="character" w:styleId="Emphasis">
    <w:name w:val="Emphasis"/>
    <w:basedOn w:val="DefaultParagraphFont"/>
    <w:uiPriority w:val="20"/>
    <w:qFormat/>
    <w:rsid w:val="00A6270D"/>
    <w:rPr>
      <w:i/>
      <w:iCs/>
    </w:rPr>
  </w:style>
  <w:style w:type="character" w:styleId="Hyperlink">
    <w:name w:val="Hyperlink"/>
    <w:basedOn w:val="DefaultParagraphFont"/>
    <w:uiPriority w:val="99"/>
    <w:semiHidden/>
    <w:unhideWhenUsed/>
    <w:rsid w:val="00A6270D"/>
    <w:rPr>
      <w:color w:val="0000FF"/>
      <w:u w:val="single"/>
    </w:rPr>
  </w:style>
  <w:style w:type="paragraph" w:styleId="NormalWeb">
    <w:name w:val="Normal (Web)"/>
    <w:basedOn w:val="Normal"/>
    <w:uiPriority w:val="99"/>
    <w:unhideWhenUsed/>
    <w:rsid w:val="007A6F2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A6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26"/>
    <w:rPr>
      <w:rFonts w:ascii="Times New Roman" w:hAnsi="Times New Roman"/>
      <w:sz w:val="24"/>
    </w:rPr>
  </w:style>
  <w:style w:type="paragraph" w:styleId="Footer">
    <w:name w:val="footer"/>
    <w:basedOn w:val="Normal"/>
    <w:link w:val="FooterChar"/>
    <w:uiPriority w:val="99"/>
    <w:unhideWhenUsed/>
    <w:rsid w:val="007A6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26"/>
    <w:rPr>
      <w:rFonts w:ascii="Times New Roman" w:hAnsi="Times New Roman"/>
      <w:sz w:val="24"/>
    </w:rPr>
  </w:style>
  <w:style w:type="paragraph" w:styleId="Bibliography">
    <w:name w:val="Bibliography"/>
    <w:basedOn w:val="Normal"/>
    <w:next w:val="Normal"/>
    <w:uiPriority w:val="37"/>
    <w:unhideWhenUsed/>
    <w:rsid w:val="0004394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67993">
      <w:bodyDiv w:val="1"/>
      <w:marLeft w:val="0"/>
      <w:marRight w:val="0"/>
      <w:marTop w:val="0"/>
      <w:marBottom w:val="0"/>
      <w:divBdr>
        <w:top w:val="none" w:sz="0" w:space="0" w:color="auto"/>
        <w:left w:val="none" w:sz="0" w:space="0" w:color="auto"/>
        <w:bottom w:val="none" w:sz="0" w:space="0" w:color="auto"/>
        <w:right w:val="none" w:sz="0" w:space="0" w:color="auto"/>
      </w:divBdr>
    </w:div>
    <w:div w:id="562373670">
      <w:bodyDiv w:val="1"/>
      <w:marLeft w:val="0"/>
      <w:marRight w:val="0"/>
      <w:marTop w:val="0"/>
      <w:marBottom w:val="0"/>
      <w:divBdr>
        <w:top w:val="none" w:sz="0" w:space="0" w:color="auto"/>
        <w:left w:val="none" w:sz="0" w:space="0" w:color="auto"/>
        <w:bottom w:val="none" w:sz="0" w:space="0" w:color="auto"/>
        <w:right w:val="none" w:sz="0" w:space="0" w:color="auto"/>
      </w:divBdr>
    </w:div>
    <w:div w:id="871653894">
      <w:bodyDiv w:val="1"/>
      <w:marLeft w:val="0"/>
      <w:marRight w:val="0"/>
      <w:marTop w:val="0"/>
      <w:marBottom w:val="0"/>
      <w:divBdr>
        <w:top w:val="none" w:sz="0" w:space="0" w:color="auto"/>
        <w:left w:val="none" w:sz="0" w:space="0" w:color="auto"/>
        <w:bottom w:val="none" w:sz="0" w:space="0" w:color="auto"/>
        <w:right w:val="none" w:sz="0" w:space="0" w:color="auto"/>
      </w:divBdr>
    </w:div>
    <w:div w:id="1056391952">
      <w:bodyDiv w:val="1"/>
      <w:marLeft w:val="0"/>
      <w:marRight w:val="0"/>
      <w:marTop w:val="0"/>
      <w:marBottom w:val="0"/>
      <w:divBdr>
        <w:top w:val="none" w:sz="0" w:space="0" w:color="auto"/>
        <w:left w:val="none" w:sz="0" w:space="0" w:color="auto"/>
        <w:bottom w:val="none" w:sz="0" w:space="0" w:color="auto"/>
        <w:right w:val="none" w:sz="0" w:space="0" w:color="auto"/>
      </w:divBdr>
      <w:divsChild>
        <w:div w:id="1448043452">
          <w:marLeft w:val="0"/>
          <w:marRight w:val="0"/>
          <w:marTop w:val="120"/>
          <w:marBottom w:val="120"/>
          <w:divBdr>
            <w:top w:val="none" w:sz="0" w:space="0" w:color="auto"/>
            <w:left w:val="none" w:sz="0" w:space="0" w:color="auto"/>
            <w:bottom w:val="none" w:sz="0" w:space="0" w:color="auto"/>
            <w:right w:val="none" w:sz="0" w:space="0" w:color="auto"/>
          </w:divBdr>
        </w:div>
      </w:divsChild>
    </w:div>
    <w:div w:id="1198006980">
      <w:bodyDiv w:val="1"/>
      <w:marLeft w:val="0"/>
      <w:marRight w:val="0"/>
      <w:marTop w:val="0"/>
      <w:marBottom w:val="0"/>
      <w:divBdr>
        <w:top w:val="none" w:sz="0" w:space="0" w:color="auto"/>
        <w:left w:val="none" w:sz="0" w:space="0" w:color="auto"/>
        <w:bottom w:val="none" w:sz="0" w:space="0" w:color="auto"/>
        <w:right w:val="none" w:sz="0" w:space="0" w:color="auto"/>
      </w:divBdr>
    </w:div>
    <w:div w:id="2062702739">
      <w:bodyDiv w:val="1"/>
      <w:marLeft w:val="0"/>
      <w:marRight w:val="0"/>
      <w:marTop w:val="0"/>
      <w:marBottom w:val="0"/>
      <w:divBdr>
        <w:top w:val="none" w:sz="0" w:space="0" w:color="auto"/>
        <w:left w:val="none" w:sz="0" w:space="0" w:color="auto"/>
        <w:bottom w:val="none" w:sz="0" w:space="0" w:color="auto"/>
        <w:right w:val="none" w:sz="0" w:space="0" w:color="auto"/>
      </w:divBdr>
      <w:divsChild>
        <w:div w:id="65241692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2026-05-04T09:31:00Z</dcterms:created>
  <dcterms:modified xsi:type="dcterms:W3CDTF">2026-05-04T11:04:00Z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id="PRmS2glF"/&gt;&lt;style id="http://www.zotero.org/styles/apa" locale="en-US" hasBibliography="1" bibliographyStyleHasBeenSet="1"/&gt;&lt;prefs&gt;&lt;pref name="fieldType" value="Field"/&gt;&lt;/prefs&gt;&lt;/data&gt;</vt:lpwstr>
  </property>
</Properties>
</file>