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974EC0" w:rsidRDefault="00CC4140" w:rsidP="00974EC0">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974EC0" w:rsidRDefault="00CC4140" w:rsidP="00974EC0">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974EC0" w:rsidRDefault="00CC4140" w:rsidP="00974EC0">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974EC0" w:rsidRDefault="00CC4140" w:rsidP="00974EC0">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974EC0" w:rsidRDefault="00CC4140" w:rsidP="00974EC0">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974EC0" w:rsidRDefault="00CC4140" w:rsidP="00974EC0">
      <w:pPr>
        <w:spacing w:line="480" w:lineRule="auto"/>
        <w:ind w:firstLine="720"/>
        <w:jc w:val="center"/>
        <w:rPr>
          <w:rFonts w:ascii="Times New Roman" w:eastAsia="Times New Roman" w:hAnsi="Times New Roman" w:cs="Times New Roman"/>
          <w:b/>
          <w:bCs/>
          <w:sz w:val="24"/>
          <w:szCs w:val="24"/>
        </w:rPr>
      </w:pPr>
    </w:p>
    <w:p w14:paraId="470D461E" w14:textId="322FBCBD" w:rsidR="00D2039A" w:rsidRPr="00974EC0" w:rsidRDefault="00DA433D" w:rsidP="00974EC0">
      <w:pPr>
        <w:spacing w:line="480" w:lineRule="auto"/>
        <w:jc w:val="center"/>
        <w:rPr>
          <w:rFonts w:ascii="Times New Roman" w:hAnsi="Times New Roman" w:cs="Times New Roman"/>
          <w:b/>
          <w:bCs/>
          <w:sz w:val="24"/>
          <w:szCs w:val="24"/>
        </w:rPr>
      </w:pPr>
      <w:r w:rsidRPr="00974EC0">
        <w:rPr>
          <w:rFonts w:ascii="Times New Roman" w:hAnsi="Times New Roman" w:cs="Times New Roman"/>
          <w:b/>
          <w:bCs/>
          <w:sz w:val="24"/>
          <w:szCs w:val="24"/>
        </w:rPr>
        <w:t>Report: Analysis of PESTLE Forces on Change Readiness</w:t>
      </w:r>
    </w:p>
    <w:p w14:paraId="5CA93685" w14:textId="77777777" w:rsidR="00DA433D" w:rsidRPr="00974EC0" w:rsidRDefault="00DA433D" w:rsidP="00974EC0">
      <w:pPr>
        <w:spacing w:line="480" w:lineRule="auto"/>
        <w:jc w:val="center"/>
        <w:rPr>
          <w:rFonts w:ascii="Times New Roman" w:hAnsi="Times New Roman" w:cs="Times New Roman"/>
          <w:b/>
          <w:bCs/>
          <w:sz w:val="24"/>
          <w:szCs w:val="24"/>
        </w:rPr>
      </w:pPr>
    </w:p>
    <w:p w14:paraId="4643785F" w14:textId="19A0D5AC" w:rsidR="00FB4A59" w:rsidRPr="00974EC0" w:rsidRDefault="00000000" w:rsidP="00974EC0">
      <w:pPr>
        <w:spacing w:line="480" w:lineRule="auto"/>
        <w:jc w:val="center"/>
        <w:rPr>
          <w:rFonts w:ascii="Times New Roman" w:eastAsia="Times New Roman" w:hAnsi="Times New Roman" w:cs="Times New Roman"/>
          <w:sz w:val="24"/>
          <w:szCs w:val="24"/>
        </w:rPr>
      </w:pPr>
      <w:r w:rsidRPr="00974EC0">
        <w:rPr>
          <w:rFonts w:ascii="Times New Roman" w:eastAsia="Times New Roman" w:hAnsi="Times New Roman" w:cs="Times New Roman"/>
          <w:sz w:val="24"/>
          <w:szCs w:val="24"/>
        </w:rPr>
        <w:t>Name of Author</w:t>
      </w:r>
    </w:p>
    <w:p w14:paraId="256DA357" w14:textId="77777777" w:rsidR="00FB4A59" w:rsidRPr="00974EC0" w:rsidRDefault="00000000" w:rsidP="00974EC0">
      <w:pPr>
        <w:spacing w:line="480" w:lineRule="auto"/>
        <w:jc w:val="center"/>
        <w:rPr>
          <w:rFonts w:ascii="Times New Roman" w:eastAsia="Times New Roman" w:hAnsi="Times New Roman" w:cs="Times New Roman"/>
          <w:sz w:val="24"/>
          <w:szCs w:val="24"/>
        </w:rPr>
      </w:pPr>
      <w:r w:rsidRPr="00974EC0">
        <w:rPr>
          <w:rFonts w:ascii="Times New Roman" w:eastAsia="Times New Roman" w:hAnsi="Times New Roman" w:cs="Times New Roman"/>
          <w:sz w:val="24"/>
          <w:szCs w:val="24"/>
        </w:rPr>
        <w:t>Instructor Name</w:t>
      </w:r>
    </w:p>
    <w:p w14:paraId="7A1FF760" w14:textId="2D3FD8A0" w:rsidR="00FB4A59" w:rsidRPr="00974EC0" w:rsidRDefault="00000000" w:rsidP="00974EC0">
      <w:pPr>
        <w:spacing w:line="480" w:lineRule="auto"/>
        <w:jc w:val="center"/>
        <w:rPr>
          <w:rFonts w:ascii="Times New Roman" w:eastAsia="Times New Roman" w:hAnsi="Times New Roman" w:cs="Times New Roman"/>
          <w:sz w:val="24"/>
          <w:szCs w:val="24"/>
        </w:rPr>
      </w:pPr>
      <w:r w:rsidRPr="00974EC0">
        <w:rPr>
          <w:rFonts w:ascii="Times New Roman" w:eastAsia="Times New Roman" w:hAnsi="Times New Roman" w:cs="Times New Roman"/>
          <w:sz w:val="24"/>
          <w:szCs w:val="24"/>
        </w:rPr>
        <w:t>Institution</w:t>
      </w:r>
    </w:p>
    <w:p w14:paraId="3762159C" w14:textId="77777777" w:rsidR="00FB4A59" w:rsidRPr="00974EC0" w:rsidRDefault="00000000" w:rsidP="00974EC0">
      <w:pPr>
        <w:spacing w:line="480" w:lineRule="auto"/>
        <w:jc w:val="center"/>
        <w:rPr>
          <w:rFonts w:ascii="Times New Roman" w:eastAsia="Times New Roman" w:hAnsi="Times New Roman" w:cs="Times New Roman"/>
          <w:sz w:val="24"/>
          <w:szCs w:val="24"/>
        </w:rPr>
      </w:pPr>
      <w:r w:rsidRPr="00974EC0">
        <w:rPr>
          <w:rFonts w:ascii="Times New Roman" w:eastAsia="Times New Roman" w:hAnsi="Times New Roman" w:cs="Times New Roman"/>
          <w:sz w:val="24"/>
          <w:szCs w:val="24"/>
        </w:rPr>
        <w:t>Course Code and Number</w:t>
      </w:r>
    </w:p>
    <w:p w14:paraId="48E3E5B3" w14:textId="44BEEE35" w:rsidR="00D832DD" w:rsidRPr="00974EC0" w:rsidRDefault="00000000" w:rsidP="00974EC0">
      <w:pPr>
        <w:spacing w:line="480" w:lineRule="auto"/>
        <w:jc w:val="center"/>
        <w:rPr>
          <w:rFonts w:ascii="Times New Roman" w:eastAsia="Times New Roman" w:hAnsi="Times New Roman" w:cs="Times New Roman"/>
          <w:sz w:val="24"/>
          <w:szCs w:val="24"/>
        </w:rPr>
      </w:pPr>
      <w:r w:rsidRPr="00974EC0">
        <w:rPr>
          <w:rFonts w:ascii="Times New Roman" w:eastAsia="Times New Roman" w:hAnsi="Times New Roman" w:cs="Times New Roman"/>
          <w:sz w:val="24"/>
          <w:szCs w:val="24"/>
        </w:rPr>
        <w:t xml:space="preserve">Date </w:t>
      </w:r>
    </w:p>
    <w:p w14:paraId="69EFF0AC" w14:textId="77777777" w:rsidR="00D832DD" w:rsidRPr="00974EC0" w:rsidRDefault="00000000" w:rsidP="00974EC0">
      <w:pPr>
        <w:spacing w:line="480" w:lineRule="auto"/>
        <w:rPr>
          <w:rFonts w:ascii="Times New Roman" w:hAnsi="Times New Roman" w:cs="Times New Roman"/>
          <w:sz w:val="24"/>
          <w:szCs w:val="24"/>
        </w:rPr>
      </w:pPr>
      <w:r w:rsidRPr="00974EC0">
        <w:rPr>
          <w:rFonts w:ascii="Times New Roman" w:hAnsi="Times New Roman" w:cs="Times New Roman"/>
          <w:sz w:val="24"/>
          <w:szCs w:val="24"/>
        </w:rPr>
        <w:br w:type="page"/>
      </w:r>
    </w:p>
    <w:p w14:paraId="534C759B" w14:textId="77777777" w:rsidR="00DA433D" w:rsidRPr="00974EC0" w:rsidRDefault="00DA433D" w:rsidP="00974EC0">
      <w:pPr>
        <w:spacing w:line="480" w:lineRule="auto"/>
        <w:jc w:val="center"/>
        <w:rPr>
          <w:rFonts w:ascii="Times New Roman" w:hAnsi="Times New Roman" w:cs="Times New Roman"/>
          <w:b/>
          <w:bCs/>
          <w:sz w:val="24"/>
          <w:szCs w:val="24"/>
        </w:rPr>
      </w:pPr>
      <w:r w:rsidRPr="00974EC0">
        <w:rPr>
          <w:rFonts w:ascii="Times New Roman" w:hAnsi="Times New Roman" w:cs="Times New Roman"/>
          <w:b/>
          <w:bCs/>
          <w:sz w:val="24"/>
          <w:szCs w:val="24"/>
        </w:rPr>
        <w:lastRenderedPageBreak/>
        <w:t>Report: Analysis of PESTLE Forces on Change Readiness</w:t>
      </w:r>
    </w:p>
    <w:p w14:paraId="7DA84AB4" w14:textId="06E846D6" w:rsidR="001A77A8" w:rsidRPr="001A77A8" w:rsidRDefault="001A77A8" w:rsidP="00974EC0">
      <w:pPr>
        <w:pStyle w:val="NormalWeb"/>
        <w:spacing w:line="480" w:lineRule="auto"/>
        <w:rPr>
          <w:lang w:val="en-US"/>
        </w:rPr>
      </w:pPr>
      <w:r w:rsidRPr="00974EC0">
        <w:rPr>
          <w:lang w:val="en-US"/>
        </w:rPr>
        <w:tab/>
      </w:r>
      <w:r w:rsidRPr="001A77A8">
        <w:rPr>
          <w:lang w:val="en-US"/>
        </w:rPr>
        <w:t xml:space="preserve">The U.S. branch of the Singaporean software company recently showed its profitability, with a profit of $459,680 and a 7.8% growth in sales in 2023 (MBA 687 U.S. Branch Overview). But financial stability does not automatically translate into </w:t>
      </w:r>
      <w:proofErr w:type="spellStart"/>
      <w:r w:rsidRPr="001A77A8">
        <w:rPr>
          <w:lang w:val="en-US"/>
        </w:rPr>
        <w:t>organisational</w:t>
      </w:r>
      <w:proofErr w:type="spellEnd"/>
      <w:r w:rsidRPr="001A77A8">
        <w:rPr>
          <w:lang w:val="en-US"/>
        </w:rPr>
        <w:t xml:space="preserve"> stability and readiness for change. The executive team must </w:t>
      </w:r>
      <w:proofErr w:type="spellStart"/>
      <w:r w:rsidRPr="001A77A8">
        <w:rPr>
          <w:lang w:val="en-US"/>
        </w:rPr>
        <w:t>analyse</w:t>
      </w:r>
      <w:proofErr w:type="spellEnd"/>
      <w:r w:rsidRPr="001A77A8">
        <w:rPr>
          <w:lang w:val="en-US"/>
        </w:rPr>
        <w:t xml:space="preserve"> internal and external environmental factors that influence </w:t>
      </w:r>
      <w:proofErr w:type="spellStart"/>
      <w:r w:rsidRPr="001A77A8">
        <w:rPr>
          <w:lang w:val="en-US"/>
        </w:rPr>
        <w:t>organisational</w:t>
      </w:r>
      <w:proofErr w:type="spellEnd"/>
      <w:r w:rsidRPr="001A77A8">
        <w:rPr>
          <w:lang w:val="en-US"/>
        </w:rPr>
        <w:t xml:space="preserve"> operations, if it is to effectively execute the planned change initiatives. The PESTLE (Political, Economic, Social, Technological, Legal, and Environmental) analysis framework offers a comprehensive framework to assess the impact of these macroenvironmental forces on internal operating capabilities (</w:t>
      </w:r>
      <w:proofErr w:type="spellStart"/>
      <w:r w:rsidRPr="001A77A8">
        <w:rPr>
          <w:lang w:val="en-US"/>
        </w:rPr>
        <w:t>Eierle</w:t>
      </w:r>
      <w:proofErr w:type="spellEnd"/>
      <w:r w:rsidRPr="001A77A8">
        <w:rPr>
          <w:lang w:val="en-US"/>
        </w:rPr>
        <w:t xml:space="preserve"> et al., 2022). This report examines the particular social and technological factors impacting the U.S. division. This process reveals key weakness in workforce demographics, employee morale, and systemic technology dependence, showing the current workforce has a severely limited capacity for </w:t>
      </w:r>
      <w:proofErr w:type="spellStart"/>
      <w:r w:rsidRPr="001A77A8">
        <w:rPr>
          <w:lang w:val="en-US"/>
        </w:rPr>
        <w:t>organisational</w:t>
      </w:r>
      <w:proofErr w:type="spellEnd"/>
      <w:r w:rsidRPr="001A77A8">
        <w:rPr>
          <w:lang w:val="en-US"/>
        </w:rPr>
        <w:t xml:space="preserve"> change, and without appropriate, </w:t>
      </w:r>
      <w:proofErr w:type="spellStart"/>
      <w:r w:rsidRPr="001A77A8">
        <w:rPr>
          <w:lang w:val="en-US"/>
        </w:rPr>
        <w:t>localised</w:t>
      </w:r>
      <w:proofErr w:type="spellEnd"/>
      <w:r w:rsidRPr="001A77A8">
        <w:rPr>
          <w:lang w:val="en-US"/>
        </w:rPr>
        <w:t xml:space="preserve"> efforts, it will be unable to respond to change.</w:t>
      </w:r>
    </w:p>
    <w:p w14:paraId="667683CD" w14:textId="77777777" w:rsidR="009F5F00" w:rsidRPr="009F5F00" w:rsidRDefault="009F5F00" w:rsidP="00974EC0">
      <w:pPr>
        <w:pStyle w:val="NormalWeb"/>
        <w:spacing w:line="480" w:lineRule="auto"/>
        <w:jc w:val="center"/>
        <w:rPr>
          <w:b/>
          <w:bCs/>
          <w:lang w:val="en-US"/>
        </w:rPr>
      </w:pPr>
      <w:r w:rsidRPr="009F5F00">
        <w:rPr>
          <w:b/>
          <w:bCs/>
          <w:lang w:val="en-US"/>
        </w:rPr>
        <w:t>Social Factors Influencing Change Requirements</w:t>
      </w:r>
    </w:p>
    <w:p w14:paraId="59A00D42" w14:textId="77777777" w:rsidR="001A77A8" w:rsidRPr="00974EC0" w:rsidRDefault="009F5F00" w:rsidP="00974EC0">
      <w:pPr>
        <w:pStyle w:val="NormalWeb"/>
        <w:spacing w:line="480" w:lineRule="auto"/>
        <w:rPr>
          <w:lang w:val="en-US"/>
        </w:rPr>
      </w:pPr>
      <w:r w:rsidRPr="00974EC0">
        <w:rPr>
          <w:lang w:val="en-US"/>
        </w:rPr>
        <w:tab/>
      </w:r>
      <w:r w:rsidR="001A77A8" w:rsidRPr="00974EC0">
        <w:rPr>
          <w:lang w:val="en-US"/>
        </w:rPr>
        <w:t xml:space="preserve">The social element of the PESTLE analysis identifies workforce demographics and employee attitudes as factors that determine an </w:t>
      </w:r>
      <w:proofErr w:type="spellStart"/>
      <w:r w:rsidR="001A77A8" w:rsidRPr="00974EC0">
        <w:rPr>
          <w:lang w:val="en-US"/>
        </w:rPr>
        <w:t>organisation's</w:t>
      </w:r>
      <w:proofErr w:type="spellEnd"/>
      <w:r w:rsidR="001A77A8" w:rsidRPr="00974EC0">
        <w:rPr>
          <w:lang w:val="en-US"/>
        </w:rPr>
        <w:t xml:space="preserve"> readiness for change (PESTLE Forces Guide, n.d.). In the case of the U.S. branch, recent empirical evidence suggests that negative attitudes and a lack of internal cohesion will hinder change readiness (Mathur et al., 2023).</w:t>
      </w:r>
    </w:p>
    <w:p w14:paraId="6C2982F4" w14:textId="47D3012A" w:rsidR="001A77A8" w:rsidRPr="001A77A8" w:rsidRDefault="001A77A8" w:rsidP="00974EC0">
      <w:pPr>
        <w:pStyle w:val="NormalWeb"/>
        <w:spacing w:line="480" w:lineRule="auto"/>
        <w:rPr>
          <w:lang w:val="en-US"/>
        </w:rPr>
      </w:pPr>
      <w:r w:rsidRPr="00974EC0">
        <w:rPr>
          <w:lang w:val="en-US"/>
        </w:rPr>
        <w:tab/>
      </w:r>
      <w:r w:rsidRPr="001A77A8">
        <w:rPr>
          <w:lang w:val="en-US"/>
        </w:rPr>
        <w:t>This exposure is compounded by multiple factors. The age distribution is remarkably young (80% under 35) and the workforce has little operational experience (52.5% are under one year of tenure) (MBA 687 U.S. Branch Overview, n.d.). This inexperience is compounded by a morale and retention problem. The U.S. branch has a dire Employee Net Promoter Score (</w:t>
      </w:r>
      <w:proofErr w:type="spellStart"/>
      <w:r w:rsidRPr="001A77A8">
        <w:rPr>
          <w:lang w:val="en-US"/>
        </w:rPr>
        <w:t>eNPS</w:t>
      </w:r>
      <w:proofErr w:type="spellEnd"/>
      <w:r w:rsidRPr="001A77A8">
        <w:rPr>
          <w:lang w:val="en-US"/>
        </w:rPr>
        <w:t>) of -10 and 28.8% total turnover, 70% of which is voluntary (MBA 687 U.S. Branch Overview, n.d.). The branch has an alarmingly high 46% attrition rate of new hires within 90 days due to poor management, lack of development, and poor communication, costing $4,100 per hire (MBA 687 U.S. Branch Overview, n.d.). Also, given the branch's diverse demographics (60% African American or Black; 55% female), communication needs to be extremely inclusive and culturally sensitive during any transition (MBA 687 U.S. Branch Overview, n.d.).</w:t>
      </w:r>
    </w:p>
    <w:p w14:paraId="0F91ACA6" w14:textId="04E087CC" w:rsidR="001A77A8" w:rsidRPr="001A77A8" w:rsidRDefault="001A77A8" w:rsidP="00974EC0">
      <w:pPr>
        <w:pStyle w:val="NormalWeb"/>
        <w:spacing w:line="480" w:lineRule="auto"/>
        <w:rPr>
          <w:lang w:val="en-US"/>
        </w:rPr>
      </w:pPr>
      <w:r w:rsidRPr="00974EC0">
        <w:rPr>
          <w:lang w:val="en-US"/>
        </w:rPr>
        <w:tab/>
      </w:r>
      <w:r w:rsidRPr="001A77A8">
        <w:rPr>
          <w:lang w:val="en-US"/>
        </w:rPr>
        <w:t xml:space="preserve">As a result, social determinants severely stifle change readiness. High turnover and low tenures undermine the foundation of trust in leadership needed for complex change (Mathur et al., 2023). A negative </w:t>
      </w:r>
      <w:proofErr w:type="spellStart"/>
      <w:r w:rsidRPr="001A77A8">
        <w:rPr>
          <w:lang w:val="en-US"/>
        </w:rPr>
        <w:t>eNPS</w:t>
      </w:r>
      <w:proofErr w:type="spellEnd"/>
      <w:r w:rsidRPr="001A77A8">
        <w:rPr>
          <w:lang w:val="en-US"/>
        </w:rPr>
        <w:t xml:space="preserve"> makes employees more likely to avoid or reject change or to leave the company. Lacking psychological safety and retention stability, change management plans will likely increase turnover and undermine the strategic plan.</w:t>
      </w:r>
    </w:p>
    <w:p w14:paraId="28FBF469" w14:textId="62992642" w:rsidR="009F5F00" w:rsidRPr="009F5F00" w:rsidRDefault="009F5F00" w:rsidP="00974EC0">
      <w:pPr>
        <w:pStyle w:val="NormalWeb"/>
        <w:spacing w:line="480" w:lineRule="auto"/>
        <w:rPr>
          <w:lang w:val="en-US"/>
        </w:rPr>
      </w:pPr>
      <w:r w:rsidRPr="009F5F00">
        <w:rPr>
          <w:b/>
          <w:bCs/>
          <w:lang w:val="en-US"/>
        </w:rPr>
        <w:t>Technological Factors Influencing Change Requirements</w:t>
      </w:r>
    </w:p>
    <w:p w14:paraId="2BDA6867" w14:textId="2AF2585E" w:rsidR="001A77A8" w:rsidRPr="00974EC0" w:rsidRDefault="001A77A8" w:rsidP="00974EC0">
      <w:pPr>
        <w:pStyle w:val="NormalWeb"/>
        <w:spacing w:line="480" w:lineRule="auto"/>
        <w:rPr>
          <w:lang w:val="en-US"/>
        </w:rPr>
      </w:pPr>
      <w:r w:rsidRPr="00974EC0">
        <w:rPr>
          <w:lang w:val="en-US"/>
        </w:rPr>
        <w:tab/>
      </w:r>
      <w:r w:rsidRPr="00974EC0">
        <w:rPr>
          <w:lang w:val="en-US"/>
        </w:rPr>
        <w:t>Within the PESTLE model, technological factors - such as the rate of obsolescence, new discoveries, and global communications - require high-tech software firms to continually upgrade systems in order to stay competitive (PESTLE Forces Guide, n.d.).</w:t>
      </w:r>
    </w:p>
    <w:p w14:paraId="6940C7A2" w14:textId="293E17D5" w:rsidR="001A77A8" w:rsidRPr="00974EC0" w:rsidRDefault="003B732E" w:rsidP="00974EC0">
      <w:pPr>
        <w:pStyle w:val="NormalWeb"/>
        <w:spacing w:line="480" w:lineRule="auto"/>
        <w:rPr>
          <w:lang w:val="en-US"/>
        </w:rPr>
      </w:pPr>
      <w:r w:rsidRPr="00974EC0">
        <w:rPr>
          <w:lang w:val="en-US"/>
        </w:rPr>
        <w:tab/>
      </w:r>
      <w:r w:rsidR="001A77A8" w:rsidRPr="00974EC0">
        <w:rPr>
          <w:lang w:val="en-US"/>
        </w:rPr>
        <w:t xml:space="preserve">The most important technological factor for the U.S. branch in terms of workforce planning is an infrastructural dependency. The branch is solely a sales, operations and customer success </w:t>
      </w:r>
      <w:proofErr w:type="spellStart"/>
      <w:r w:rsidR="001A77A8" w:rsidRPr="00974EC0">
        <w:rPr>
          <w:lang w:val="en-US"/>
        </w:rPr>
        <w:t>centre</w:t>
      </w:r>
      <w:proofErr w:type="spellEnd"/>
      <w:r w:rsidR="001A77A8" w:rsidRPr="00974EC0">
        <w:rPr>
          <w:lang w:val="en-US"/>
        </w:rPr>
        <w:t>, and does not have local Information Technology or Research and Development departments; instead, all technical support and quality control is conducted at the Singapore Headquarters (MBA 687 U.S. Branch Overview, n.d.).</w:t>
      </w:r>
    </w:p>
    <w:p w14:paraId="6E4187E5" w14:textId="14EEDF1F" w:rsidR="001A77A8" w:rsidRPr="00974EC0" w:rsidRDefault="001A77A8" w:rsidP="00974EC0">
      <w:pPr>
        <w:pStyle w:val="NormalWeb"/>
        <w:spacing w:line="480" w:lineRule="auto"/>
        <w:rPr>
          <w:lang w:val="en-US"/>
        </w:rPr>
      </w:pPr>
      <w:r w:rsidRPr="00974EC0">
        <w:rPr>
          <w:lang w:val="en-US"/>
        </w:rPr>
        <w:tab/>
      </w:r>
      <w:r w:rsidRPr="00974EC0">
        <w:rPr>
          <w:lang w:val="en-US"/>
        </w:rPr>
        <w:t>This structural factor has an enormous impact on workforce planning and training. Given Singapore's time zone, real-time technical training and support are limited. Workforce planning must anticipate the impact of time constraints for cross-border IT assistance. Therefore, change-readiness training for new technologies cannot be provided on an emergency basis. Training must instead be well-organized, asynchronous and sufficiently robust to allow U.S. staff to be able to navigate new software on their own without the immediate input of the Singaporean IT team.</w:t>
      </w:r>
    </w:p>
    <w:p w14:paraId="5F6AF938" w14:textId="6EE66246" w:rsidR="00AD7F75" w:rsidRPr="00974EC0" w:rsidRDefault="001A77A8" w:rsidP="00974EC0">
      <w:pPr>
        <w:pStyle w:val="NormalWeb"/>
        <w:spacing w:line="480" w:lineRule="auto"/>
        <w:rPr>
          <w:lang w:val="en-US"/>
        </w:rPr>
      </w:pPr>
      <w:r w:rsidRPr="00974EC0">
        <w:rPr>
          <w:lang w:val="en-US"/>
        </w:rPr>
        <w:tab/>
      </w:r>
      <w:r w:rsidRPr="00974EC0">
        <w:rPr>
          <w:lang w:val="en-US"/>
        </w:rPr>
        <w:t>Such technological factors have a primarily negative effect on readiness. Although employee maturity and youth might indicate a high level of cognitive readiness to adopt new information technology, integration of new complex software is adversely impacted by the geographic and temporal distance between the employees and IT professional. Those staff with low workplace morale will rapidly develop frustration if they experience frictions with the technology, without local support. The risk of system failure without local technology leadership will prevent employees from embracing new operational systems, and ultimately delay the process of change.</w:t>
      </w:r>
    </w:p>
    <w:p w14:paraId="34BDC784" w14:textId="448B6AFF" w:rsidR="00AD7F75" w:rsidRPr="00974EC0" w:rsidRDefault="00AD7F75" w:rsidP="00974EC0">
      <w:pPr>
        <w:pStyle w:val="NormalWeb"/>
        <w:spacing w:line="480" w:lineRule="auto"/>
        <w:jc w:val="center"/>
        <w:rPr>
          <w:b/>
          <w:bCs/>
          <w:lang w:val="en-US"/>
        </w:rPr>
      </w:pPr>
      <w:r w:rsidRPr="00974EC0">
        <w:rPr>
          <w:b/>
          <w:bCs/>
          <w:lang w:val="en-US"/>
        </w:rPr>
        <w:t>PESTLE Framework</w:t>
      </w:r>
    </w:p>
    <w:tbl>
      <w:tblPr>
        <w:tblStyle w:val="TableGrid"/>
        <w:tblW w:w="0" w:type="auto"/>
        <w:tblLook w:val="04A0" w:firstRow="1" w:lastRow="0" w:firstColumn="1" w:lastColumn="0" w:noHBand="0" w:noVBand="1"/>
      </w:tblPr>
      <w:tblGrid>
        <w:gridCol w:w="3006"/>
        <w:gridCol w:w="3006"/>
        <w:gridCol w:w="3007"/>
      </w:tblGrid>
      <w:tr w:rsidR="00544CAE" w:rsidRPr="00974EC0" w14:paraId="79C3127F" w14:textId="77777777" w:rsidTr="00544CAE">
        <w:tc>
          <w:tcPr>
            <w:tcW w:w="3006" w:type="dxa"/>
          </w:tcPr>
          <w:p w14:paraId="5964556B" w14:textId="79C32D60"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lang w:val="en-US"/>
              </w:rPr>
              <w:t>PESTLE Factors</w:t>
            </w:r>
          </w:p>
        </w:tc>
        <w:tc>
          <w:tcPr>
            <w:tcW w:w="3006" w:type="dxa"/>
          </w:tcPr>
          <w:p w14:paraId="792DE0C7" w14:textId="459E09B0"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rPr>
              <w:t>Key Organizational Data</w:t>
            </w:r>
          </w:p>
        </w:tc>
        <w:tc>
          <w:tcPr>
            <w:tcW w:w="3007" w:type="dxa"/>
          </w:tcPr>
          <w:p w14:paraId="70153C9C" w14:textId="73099C5D"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rPr>
              <w:t>Impact on Change Readiness</w:t>
            </w:r>
          </w:p>
        </w:tc>
      </w:tr>
      <w:tr w:rsidR="00544CAE" w:rsidRPr="00974EC0" w14:paraId="7024A9C7" w14:textId="77777777" w:rsidTr="00544CAE">
        <w:tc>
          <w:tcPr>
            <w:tcW w:w="3006" w:type="dxa"/>
          </w:tcPr>
          <w:p w14:paraId="4BA98CA5" w14:textId="5266A929"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lang w:val="en-US"/>
              </w:rPr>
              <w:t>Political</w:t>
            </w:r>
          </w:p>
        </w:tc>
        <w:tc>
          <w:tcPr>
            <w:tcW w:w="3006" w:type="dxa"/>
          </w:tcPr>
          <w:p w14:paraId="42856F2E" w14:textId="52E8CD5A" w:rsidR="00544CAE" w:rsidRPr="00974EC0" w:rsidRDefault="00544CAE"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rPr>
              <w:t xml:space="preserve">Split governance (U.S. executives; Singapore COO). </w:t>
            </w:r>
          </w:p>
        </w:tc>
        <w:tc>
          <w:tcPr>
            <w:tcW w:w="3007" w:type="dxa"/>
          </w:tcPr>
          <w:p w14:paraId="14071E5E" w14:textId="7F4E0F9E" w:rsidR="00544CAE" w:rsidRPr="00974EC0" w:rsidRDefault="00544CAE"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rPr>
              <w:t xml:space="preserve"> Cross-border structure risks approval delays and HQ/branch friction.</w:t>
            </w:r>
          </w:p>
        </w:tc>
      </w:tr>
      <w:tr w:rsidR="00544CAE" w:rsidRPr="00974EC0" w14:paraId="2FEF718B" w14:textId="77777777" w:rsidTr="00544CAE">
        <w:tc>
          <w:tcPr>
            <w:tcW w:w="3006" w:type="dxa"/>
          </w:tcPr>
          <w:p w14:paraId="499228E2" w14:textId="20DE0A6E"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lang w:val="en-US"/>
              </w:rPr>
              <w:t>Economic</w:t>
            </w:r>
          </w:p>
        </w:tc>
        <w:tc>
          <w:tcPr>
            <w:tcW w:w="3006" w:type="dxa"/>
          </w:tcPr>
          <w:p w14:paraId="07374E08" w14:textId="578C9C3D" w:rsidR="00544CAE" w:rsidRPr="00974EC0" w:rsidRDefault="00544CAE"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rPr>
              <w:t xml:space="preserve">Profitable ($459K profit; +7.8% sales). </w:t>
            </w:r>
          </w:p>
        </w:tc>
        <w:tc>
          <w:tcPr>
            <w:tcW w:w="3007" w:type="dxa"/>
          </w:tcPr>
          <w:p w14:paraId="6FB939E8" w14:textId="6CC93DA0" w:rsidR="00544CAE" w:rsidRPr="00974EC0" w:rsidRDefault="00544CAE"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rPr>
              <w:t>Profits can fund change, but high turnover costs drain transition budgets.</w:t>
            </w:r>
          </w:p>
        </w:tc>
      </w:tr>
      <w:tr w:rsidR="00544CAE" w:rsidRPr="00974EC0" w14:paraId="6EEA8405" w14:textId="77777777" w:rsidTr="00544CAE">
        <w:tc>
          <w:tcPr>
            <w:tcW w:w="3006" w:type="dxa"/>
          </w:tcPr>
          <w:p w14:paraId="0FE3A981" w14:textId="3A78E0D6"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lang w:val="en-US"/>
              </w:rPr>
              <w:t>Social</w:t>
            </w:r>
          </w:p>
        </w:tc>
        <w:tc>
          <w:tcPr>
            <w:tcW w:w="3006" w:type="dxa"/>
          </w:tcPr>
          <w:p w14:paraId="6F2F357A" w14:textId="77777777" w:rsidR="00544CAE" w:rsidRPr="00974EC0" w:rsidRDefault="00544CAE" w:rsidP="00974EC0">
            <w:pPr>
              <w:pStyle w:val="ListParagraph"/>
              <w:numPr>
                <w:ilvl w:val="0"/>
                <w:numId w:val="9"/>
              </w:num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lang w:val="en-US"/>
              </w:rPr>
              <w:t>Young (80% &lt; 35 yrs) and low tenure (52.5% &lt; 1 yr).</w:t>
            </w:r>
          </w:p>
          <w:p w14:paraId="34A0D2F2" w14:textId="3AEB47D3" w:rsidR="00544CAE" w:rsidRPr="00974EC0" w:rsidRDefault="00544CAE" w:rsidP="00974EC0">
            <w:pPr>
              <w:pStyle w:val="ListParagraph"/>
              <w:numPr>
                <w:ilvl w:val="0"/>
                <w:numId w:val="9"/>
              </w:num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lang w:val="en-US"/>
              </w:rPr>
              <w:t xml:space="preserve">Crisis morale: -10 </w:t>
            </w:r>
            <w:proofErr w:type="spellStart"/>
            <w:r w:rsidRPr="00974EC0">
              <w:rPr>
                <w:rFonts w:ascii="Times New Roman" w:hAnsi="Times New Roman" w:cs="Times New Roman"/>
                <w:sz w:val="24"/>
                <w:szCs w:val="24"/>
                <w:lang w:val="en-US"/>
              </w:rPr>
              <w:t>eNPS</w:t>
            </w:r>
            <w:proofErr w:type="spellEnd"/>
            <w:r w:rsidRPr="00974EC0">
              <w:rPr>
                <w:rFonts w:ascii="Times New Roman" w:hAnsi="Times New Roman" w:cs="Times New Roman"/>
                <w:sz w:val="24"/>
                <w:szCs w:val="24"/>
                <w:lang w:val="en-US"/>
              </w:rPr>
              <w:t xml:space="preserve">, 28.8% turnover. </w:t>
            </w:r>
          </w:p>
          <w:p w14:paraId="2BEA82B2" w14:textId="77777777" w:rsidR="00544CAE" w:rsidRPr="00974EC0" w:rsidRDefault="00544CAE" w:rsidP="00974EC0">
            <w:pPr>
              <w:spacing w:line="480" w:lineRule="auto"/>
              <w:rPr>
                <w:rFonts w:ascii="Times New Roman" w:hAnsi="Times New Roman" w:cs="Times New Roman"/>
                <w:sz w:val="24"/>
                <w:szCs w:val="24"/>
                <w:lang w:val="en-US"/>
              </w:rPr>
            </w:pPr>
          </w:p>
        </w:tc>
        <w:tc>
          <w:tcPr>
            <w:tcW w:w="3007" w:type="dxa"/>
          </w:tcPr>
          <w:p w14:paraId="5EA4AF6B" w14:textId="274C6C69" w:rsidR="00544CAE" w:rsidRPr="00974EC0" w:rsidRDefault="00544CAE" w:rsidP="00974EC0">
            <w:pPr>
              <w:spacing w:line="480" w:lineRule="auto"/>
              <w:rPr>
                <w:rFonts w:ascii="Times New Roman" w:hAnsi="Times New Roman" w:cs="Times New Roman"/>
                <w:sz w:val="24"/>
                <w:szCs w:val="24"/>
                <w:lang w:val="en-US"/>
              </w:rPr>
            </w:pPr>
            <w:r w:rsidRPr="00974EC0">
              <w:rPr>
                <w:rFonts w:ascii="Times New Roman" w:hAnsi="Times New Roman" w:cs="Times New Roman"/>
                <w:b/>
                <w:bCs/>
                <w:sz w:val="24"/>
                <w:szCs w:val="24"/>
              </w:rPr>
              <w:t>Critical Risk:</w:t>
            </w:r>
            <w:r w:rsidRPr="00974EC0">
              <w:rPr>
                <w:rFonts w:ascii="Times New Roman" w:hAnsi="Times New Roman" w:cs="Times New Roman"/>
                <w:sz w:val="24"/>
                <w:szCs w:val="24"/>
              </w:rPr>
              <w:t xml:space="preserve"> Low trust and high frustration drive severe change resistance and flight risk.</w:t>
            </w:r>
          </w:p>
        </w:tc>
      </w:tr>
      <w:tr w:rsidR="00544CAE" w:rsidRPr="00974EC0" w14:paraId="0521BBA8" w14:textId="77777777" w:rsidTr="00544CAE">
        <w:tc>
          <w:tcPr>
            <w:tcW w:w="3006" w:type="dxa"/>
          </w:tcPr>
          <w:p w14:paraId="35D7A017" w14:textId="4161C783"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lang w:val="en-US"/>
              </w:rPr>
              <w:t>Technological</w:t>
            </w:r>
          </w:p>
        </w:tc>
        <w:tc>
          <w:tcPr>
            <w:tcW w:w="3006" w:type="dxa"/>
          </w:tcPr>
          <w:p w14:paraId="6306C809" w14:textId="77777777" w:rsidR="00544CAE" w:rsidRPr="00974EC0" w:rsidRDefault="00544CAE" w:rsidP="00974EC0">
            <w:pPr>
              <w:pStyle w:val="ListParagraph"/>
              <w:numPr>
                <w:ilvl w:val="0"/>
                <w:numId w:val="10"/>
              </w:num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lang w:val="en-US"/>
              </w:rPr>
              <w:t xml:space="preserve">No local IT/R&amp;D; 100% centralized in Singapore. </w:t>
            </w:r>
          </w:p>
          <w:p w14:paraId="00B60672" w14:textId="6B5CD290" w:rsidR="00544CAE" w:rsidRPr="00974EC0" w:rsidRDefault="00544CAE" w:rsidP="00974EC0">
            <w:pPr>
              <w:pStyle w:val="ListParagraph"/>
              <w:numPr>
                <w:ilvl w:val="0"/>
                <w:numId w:val="10"/>
              </w:num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lang w:val="en-US"/>
              </w:rPr>
              <w:t xml:space="preserve">Software sector mandates agility. </w:t>
            </w:r>
          </w:p>
          <w:p w14:paraId="2C2557F7" w14:textId="77777777" w:rsidR="00544CAE" w:rsidRPr="00974EC0" w:rsidRDefault="00544CAE" w:rsidP="00974EC0">
            <w:pPr>
              <w:spacing w:line="480" w:lineRule="auto"/>
              <w:rPr>
                <w:rFonts w:ascii="Times New Roman" w:hAnsi="Times New Roman" w:cs="Times New Roman"/>
                <w:sz w:val="24"/>
                <w:szCs w:val="24"/>
                <w:lang w:val="en-US"/>
              </w:rPr>
            </w:pPr>
          </w:p>
        </w:tc>
        <w:tc>
          <w:tcPr>
            <w:tcW w:w="3007" w:type="dxa"/>
          </w:tcPr>
          <w:p w14:paraId="2FAC6EC1" w14:textId="2BCAF860" w:rsidR="00544CAE" w:rsidRPr="00974EC0" w:rsidRDefault="00544CAE" w:rsidP="00974EC0">
            <w:pPr>
              <w:spacing w:line="480" w:lineRule="auto"/>
              <w:rPr>
                <w:rFonts w:ascii="Times New Roman" w:hAnsi="Times New Roman" w:cs="Times New Roman"/>
                <w:sz w:val="24"/>
                <w:szCs w:val="24"/>
                <w:lang w:val="en-US"/>
              </w:rPr>
            </w:pPr>
            <w:r w:rsidRPr="00974EC0">
              <w:rPr>
                <w:rFonts w:ascii="Times New Roman" w:hAnsi="Times New Roman" w:cs="Times New Roman"/>
                <w:b/>
                <w:bCs/>
                <w:sz w:val="24"/>
                <w:szCs w:val="24"/>
              </w:rPr>
              <w:t>Critical Risk:</w:t>
            </w:r>
            <w:r w:rsidRPr="00974EC0">
              <w:rPr>
                <w:rFonts w:ascii="Times New Roman" w:hAnsi="Times New Roman" w:cs="Times New Roman"/>
                <w:sz w:val="24"/>
                <w:szCs w:val="24"/>
              </w:rPr>
              <w:t xml:space="preserve"> Time-zone delays hinder live support, mandating robust asynchronous training.</w:t>
            </w:r>
          </w:p>
        </w:tc>
      </w:tr>
      <w:tr w:rsidR="00544CAE" w:rsidRPr="00974EC0" w14:paraId="3498D0DD" w14:textId="77777777" w:rsidTr="00544CAE">
        <w:tc>
          <w:tcPr>
            <w:tcW w:w="3006" w:type="dxa"/>
          </w:tcPr>
          <w:p w14:paraId="758C764A" w14:textId="37D607FE"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lang w:val="en-US"/>
              </w:rPr>
              <w:t>Legal</w:t>
            </w:r>
          </w:p>
        </w:tc>
        <w:tc>
          <w:tcPr>
            <w:tcW w:w="3006" w:type="dxa"/>
          </w:tcPr>
          <w:p w14:paraId="28A2F7EF" w14:textId="32CB102B" w:rsidR="00544CAE" w:rsidRPr="00974EC0" w:rsidRDefault="007B149A"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rPr>
              <w:t xml:space="preserve">Bound by U.S. </w:t>
            </w:r>
            <w:proofErr w:type="spellStart"/>
            <w:r w:rsidRPr="00974EC0">
              <w:rPr>
                <w:rFonts w:ascii="Times New Roman" w:hAnsi="Times New Roman" w:cs="Times New Roman"/>
                <w:sz w:val="24"/>
                <w:szCs w:val="24"/>
              </w:rPr>
              <w:t>labor</w:t>
            </w:r>
            <w:proofErr w:type="spellEnd"/>
            <w:r w:rsidRPr="00974EC0">
              <w:rPr>
                <w:rFonts w:ascii="Times New Roman" w:hAnsi="Times New Roman" w:cs="Times New Roman"/>
                <w:sz w:val="24"/>
                <w:szCs w:val="24"/>
              </w:rPr>
              <w:t xml:space="preserve"> laws and ACA ($41K annual HRA costs).</w:t>
            </w:r>
          </w:p>
        </w:tc>
        <w:tc>
          <w:tcPr>
            <w:tcW w:w="3007" w:type="dxa"/>
          </w:tcPr>
          <w:p w14:paraId="0F0E59D4" w14:textId="13582860" w:rsidR="00544CAE" w:rsidRPr="00974EC0" w:rsidRDefault="007B149A"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rPr>
              <w:t>Fixed compliance costs limit flexibility in workforce restructuring.</w:t>
            </w:r>
          </w:p>
        </w:tc>
      </w:tr>
      <w:tr w:rsidR="00544CAE" w:rsidRPr="00974EC0" w14:paraId="217D6F4C" w14:textId="77777777" w:rsidTr="00544CAE">
        <w:tc>
          <w:tcPr>
            <w:tcW w:w="3006" w:type="dxa"/>
          </w:tcPr>
          <w:p w14:paraId="7A28D1D4" w14:textId="6E2FB529"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lang w:val="en-US"/>
              </w:rPr>
              <w:t>Environmental</w:t>
            </w:r>
          </w:p>
        </w:tc>
        <w:tc>
          <w:tcPr>
            <w:tcW w:w="3006" w:type="dxa"/>
          </w:tcPr>
          <w:p w14:paraId="0B069BE5" w14:textId="11F59F8A" w:rsidR="00544CAE" w:rsidRPr="00974EC0" w:rsidRDefault="007B149A"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rPr>
              <w:t>Operates in the digital/software industry</w:t>
            </w:r>
          </w:p>
        </w:tc>
        <w:tc>
          <w:tcPr>
            <w:tcW w:w="3007" w:type="dxa"/>
          </w:tcPr>
          <w:p w14:paraId="179746A2" w14:textId="4AE26299" w:rsidR="00544CAE" w:rsidRPr="00974EC0" w:rsidRDefault="007B149A"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rPr>
              <w:t>Minimal direct footprint; focus shifts to indirect impacts (e.g., green IT)</w:t>
            </w:r>
          </w:p>
        </w:tc>
      </w:tr>
    </w:tbl>
    <w:p w14:paraId="00F28C82" w14:textId="77777777" w:rsidR="00544CAE" w:rsidRPr="00974EC0" w:rsidRDefault="00544CAE" w:rsidP="00974EC0">
      <w:pPr>
        <w:spacing w:line="480" w:lineRule="auto"/>
        <w:rPr>
          <w:rFonts w:ascii="Times New Roman" w:hAnsi="Times New Roman" w:cs="Times New Roman"/>
          <w:sz w:val="24"/>
          <w:szCs w:val="24"/>
          <w:lang w:val="en-US"/>
        </w:rPr>
      </w:pPr>
    </w:p>
    <w:p w14:paraId="339495A0" w14:textId="77777777" w:rsidR="00AD7F75" w:rsidRPr="00974EC0" w:rsidRDefault="00AD7F75" w:rsidP="00974EC0">
      <w:pPr>
        <w:pStyle w:val="NormalWeb"/>
        <w:spacing w:line="480" w:lineRule="auto"/>
        <w:jc w:val="center"/>
      </w:pPr>
      <w:r w:rsidRPr="00974EC0">
        <w:rPr>
          <w:b/>
          <w:bCs/>
        </w:rPr>
        <w:t>Conclusion and Recommendations</w:t>
      </w:r>
    </w:p>
    <w:p w14:paraId="663CDE8F" w14:textId="77777777" w:rsidR="00AD7F75" w:rsidRPr="00974EC0" w:rsidRDefault="00AD7F75"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lang w:val="en-US"/>
        </w:rPr>
        <w:tab/>
      </w:r>
      <w:r w:rsidRPr="001A77A8">
        <w:rPr>
          <w:rFonts w:ascii="Times New Roman" w:hAnsi="Times New Roman" w:cs="Times New Roman"/>
          <w:sz w:val="24"/>
          <w:szCs w:val="24"/>
          <w:lang w:val="en-US"/>
        </w:rPr>
        <w:t xml:space="preserve">In summary, although the U.S. branch continues to be profitable, its social and technological infrastructure is extremely vulnerable. The combination of an inexperienced (high turnover) workforce and an offshore, home-country-based technological support structure creates an unstable mix for change. In the interest of increasing change readiness, it is highly recommended for executive leadership to focus on workforce stability through addressing the underlying issues behind the -10 </w:t>
      </w:r>
      <w:proofErr w:type="spellStart"/>
      <w:r w:rsidRPr="001A77A8">
        <w:rPr>
          <w:rFonts w:ascii="Times New Roman" w:hAnsi="Times New Roman" w:cs="Times New Roman"/>
          <w:sz w:val="24"/>
          <w:szCs w:val="24"/>
          <w:lang w:val="en-US"/>
        </w:rPr>
        <w:t>eNPS</w:t>
      </w:r>
      <w:proofErr w:type="spellEnd"/>
      <w:r w:rsidRPr="001A77A8">
        <w:rPr>
          <w:rFonts w:ascii="Times New Roman" w:hAnsi="Times New Roman" w:cs="Times New Roman"/>
          <w:sz w:val="24"/>
          <w:szCs w:val="24"/>
          <w:lang w:val="en-US"/>
        </w:rPr>
        <w:t xml:space="preserve"> and the critical 46% new hire failure rate (MBA 687 U.S. Branch Overview, n.d.). In addition, the U.S. branch must build IT liaisons or highly sophisticated asynchronous training channels to overcome the communication barriers with the Singapore headquarters, before embarking on any technology-enabled change initiatives. By proactively managing these PESTLE forces, the workforce will be converted from vulnerable and resistant to proactive and ready.</w:t>
      </w:r>
    </w:p>
    <w:p w14:paraId="37AD8E28" w14:textId="232C2206" w:rsidR="00DA433D" w:rsidRPr="00974EC0" w:rsidRDefault="00AD7F75" w:rsidP="00974EC0">
      <w:pPr>
        <w:spacing w:line="480" w:lineRule="auto"/>
        <w:jc w:val="center"/>
        <w:rPr>
          <w:rFonts w:ascii="Times New Roman" w:hAnsi="Times New Roman" w:cs="Times New Roman"/>
          <w:sz w:val="24"/>
          <w:szCs w:val="24"/>
          <w:lang w:val="en-US"/>
        </w:rPr>
      </w:pPr>
      <w:r w:rsidRPr="00974EC0">
        <w:rPr>
          <w:rFonts w:ascii="Times New Roman" w:hAnsi="Times New Roman" w:cs="Times New Roman"/>
          <w:sz w:val="24"/>
          <w:szCs w:val="24"/>
          <w:lang w:val="en-US"/>
        </w:rPr>
        <w:br w:type="page"/>
      </w:r>
      <w:r w:rsidR="00DA433D" w:rsidRPr="00974EC0">
        <w:rPr>
          <w:rFonts w:ascii="Times New Roman" w:hAnsi="Times New Roman" w:cs="Times New Roman"/>
          <w:b/>
          <w:bCs/>
          <w:sz w:val="24"/>
          <w:szCs w:val="24"/>
        </w:rPr>
        <w:t>References</w:t>
      </w:r>
    </w:p>
    <w:p w14:paraId="18335499" w14:textId="77777777" w:rsidR="00DA433D" w:rsidRPr="00974EC0" w:rsidRDefault="00DA433D" w:rsidP="00974EC0">
      <w:pPr>
        <w:pStyle w:val="NormalWeb"/>
        <w:spacing w:line="480" w:lineRule="auto"/>
        <w:ind w:left="720" w:hanging="720"/>
      </w:pPr>
      <w:proofErr w:type="spellStart"/>
      <w:r w:rsidRPr="00974EC0">
        <w:t>Eierle</w:t>
      </w:r>
      <w:proofErr w:type="spellEnd"/>
      <w:r w:rsidRPr="00974EC0">
        <w:t xml:space="preserve">, B., Hartlieb, S., Hay, D. C., Niemi, L., &amp; Ojala, H. (2022). External factors and the pricing of audit services: A systematic review of the archival literature using a PESTLE analysis. </w:t>
      </w:r>
      <w:r w:rsidRPr="00974EC0">
        <w:rPr>
          <w:i/>
          <w:iCs/>
        </w:rPr>
        <w:t>Auditing: A Journal of Practice &amp; Theory</w:t>
      </w:r>
      <w:r w:rsidRPr="00974EC0">
        <w:t xml:space="preserve">, </w:t>
      </w:r>
      <w:r w:rsidRPr="00974EC0">
        <w:rPr>
          <w:i/>
          <w:iCs/>
        </w:rPr>
        <w:t>41</w:t>
      </w:r>
      <w:r w:rsidRPr="00974EC0">
        <w:t>(3), 95–119.</w:t>
      </w:r>
    </w:p>
    <w:p w14:paraId="044130AD" w14:textId="77777777" w:rsidR="00DA433D" w:rsidRPr="00974EC0" w:rsidRDefault="00DA433D" w:rsidP="00974EC0">
      <w:pPr>
        <w:pStyle w:val="NormalWeb"/>
        <w:spacing w:line="480" w:lineRule="auto"/>
        <w:ind w:left="720" w:hanging="720"/>
      </w:pPr>
      <w:r w:rsidRPr="00974EC0">
        <w:t xml:space="preserve">Mathur, M., Kapoor, T., &amp; Swami, S. (2023). Readiness for organizational change: The effects of individual and organizational factors. </w:t>
      </w:r>
      <w:r w:rsidRPr="00974EC0">
        <w:rPr>
          <w:i/>
          <w:iCs/>
        </w:rPr>
        <w:t>Journal of Advances in Management Research</w:t>
      </w:r>
      <w:r w:rsidRPr="00974EC0">
        <w:t xml:space="preserve">, </w:t>
      </w:r>
      <w:r w:rsidRPr="00974EC0">
        <w:rPr>
          <w:i/>
          <w:iCs/>
        </w:rPr>
        <w:t>20</w:t>
      </w:r>
      <w:r w:rsidRPr="00974EC0">
        <w:t xml:space="preserve">(4), 730–757. </w:t>
      </w:r>
      <w:hyperlink w:tgtFrame="_blank" w:history="1">
        <w:r w:rsidRPr="00974EC0">
          <w:rPr>
            <w:rStyle w:val="Hyperlink"/>
          </w:rPr>
          <w:t>https://doi.org/10.1108/JAMR-02-2023-0032</w:t>
        </w:r>
      </w:hyperlink>
    </w:p>
    <w:p w14:paraId="53F50E13" w14:textId="77777777" w:rsidR="00DA433D" w:rsidRPr="00974EC0" w:rsidRDefault="00DA433D" w:rsidP="00974EC0">
      <w:pPr>
        <w:pStyle w:val="NormalWeb"/>
        <w:spacing w:line="480" w:lineRule="auto"/>
        <w:ind w:left="720" w:hanging="720"/>
      </w:pPr>
      <w:r w:rsidRPr="00974EC0">
        <w:rPr>
          <w:i/>
          <w:iCs/>
        </w:rPr>
        <w:t>MBA 687 U.S. branch overview</w:t>
      </w:r>
      <w:r w:rsidRPr="00974EC0">
        <w:t>. (n.d.).</w:t>
      </w:r>
    </w:p>
    <w:p w14:paraId="7B29D5B3" w14:textId="77777777" w:rsidR="00DA433D" w:rsidRPr="00974EC0" w:rsidRDefault="00DA433D" w:rsidP="00974EC0">
      <w:pPr>
        <w:pStyle w:val="NormalWeb"/>
        <w:spacing w:line="480" w:lineRule="auto"/>
        <w:ind w:left="720" w:hanging="720"/>
      </w:pPr>
      <w:r w:rsidRPr="00974EC0">
        <w:rPr>
          <w:i/>
          <w:iCs/>
        </w:rPr>
        <w:t>PESTLE forces guide</w:t>
      </w:r>
      <w:r w:rsidRPr="00974EC0">
        <w:t>. (n.d.).</w:t>
      </w:r>
    </w:p>
    <w:p w14:paraId="30BB4AC2" w14:textId="0EF83C53" w:rsidR="00D2039A" w:rsidRPr="00974EC0" w:rsidRDefault="00DA433D" w:rsidP="00974EC0">
      <w:pPr>
        <w:tabs>
          <w:tab w:val="left" w:pos="810"/>
          <w:tab w:val="center" w:pos="4514"/>
        </w:tabs>
        <w:spacing w:line="480" w:lineRule="auto"/>
        <w:ind w:left="720" w:hanging="720"/>
        <w:rPr>
          <w:rFonts w:ascii="Times New Roman" w:hAnsi="Times New Roman" w:cs="Times New Roman"/>
          <w:b/>
          <w:bCs/>
          <w:sz w:val="24"/>
          <w:szCs w:val="24"/>
          <w:lang w:val="en-US"/>
        </w:rPr>
      </w:pPr>
      <w:r w:rsidRPr="00974EC0">
        <w:rPr>
          <w:rFonts w:ascii="Times New Roman" w:hAnsi="Times New Roman" w:cs="Times New Roman"/>
          <w:b/>
          <w:bCs/>
          <w:sz w:val="24"/>
          <w:szCs w:val="24"/>
          <w:lang w:val="en-US"/>
        </w:rPr>
        <w:tab/>
      </w:r>
      <w:r w:rsidR="00D2039A" w:rsidRPr="00974EC0">
        <w:rPr>
          <w:rFonts w:ascii="Times New Roman" w:hAnsi="Times New Roman" w:cs="Times New Roman"/>
          <w:b/>
          <w:bCs/>
          <w:sz w:val="24"/>
          <w:szCs w:val="24"/>
          <w:lang w:val="en-US"/>
        </w:rPr>
        <w:br w:type="page"/>
      </w:r>
    </w:p>
    <w:p w14:paraId="78BA7C1E" w14:textId="12057C4E" w:rsidR="002E0669" w:rsidRPr="00974EC0" w:rsidRDefault="002E0669" w:rsidP="00974EC0">
      <w:pPr>
        <w:pStyle w:val="NormalWeb"/>
        <w:spacing w:line="480" w:lineRule="auto"/>
      </w:pPr>
    </w:p>
    <w:sectPr w:rsidR="002E0669" w:rsidRPr="00974EC0">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1A9C5" w14:textId="77777777" w:rsidR="00CD7A01" w:rsidRDefault="00CD7A01">
      <w:pPr>
        <w:spacing w:line="240" w:lineRule="auto"/>
      </w:pPr>
      <w:r>
        <w:separator/>
      </w:r>
    </w:p>
  </w:endnote>
  <w:endnote w:type="continuationSeparator" w:id="0">
    <w:p w14:paraId="4CE62A83" w14:textId="77777777" w:rsidR="00CD7A01" w:rsidRDefault="00CD7A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79937DD-F817-401E-BDCD-EDCD9AD8C63F}"/>
  </w:font>
  <w:font w:name="Cambria">
    <w:panose1 w:val="02040503050406030204"/>
    <w:charset w:val="00"/>
    <w:family w:val="roman"/>
    <w:pitch w:val="variable"/>
    <w:sig w:usb0="E00006FF" w:usb1="420024FF" w:usb2="02000000" w:usb3="00000000" w:csb0="0000019F" w:csb1="00000000"/>
    <w:embedRegular r:id="rId2" w:fontKey="{17595EE4-ACED-4019-8CDD-5B304D4CB0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9AF5F" w14:textId="77777777" w:rsidR="00CD7A01" w:rsidRDefault="00CD7A01">
      <w:pPr>
        <w:spacing w:line="240" w:lineRule="auto"/>
      </w:pPr>
      <w:r>
        <w:separator/>
      </w:r>
    </w:p>
  </w:footnote>
  <w:footnote w:type="continuationSeparator" w:id="0">
    <w:p w14:paraId="01CD298B" w14:textId="77777777" w:rsidR="00CD7A01" w:rsidRDefault="00CD7A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8714C"/>
    <w:multiLevelType w:val="hybridMultilevel"/>
    <w:tmpl w:val="78DC3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CE5A07"/>
    <w:multiLevelType w:val="multilevel"/>
    <w:tmpl w:val="25AA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B06A75"/>
    <w:multiLevelType w:val="multilevel"/>
    <w:tmpl w:val="9F78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AD38FC"/>
    <w:multiLevelType w:val="hybridMultilevel"/>
    <w:tmpl w:val="CB727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EB1DB4"/>
    <w:multiLevelType w:val="multilevel"/>
    <w:tmpl w:val="9746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AC6D22"/>
    <w:multiLevelType w:val="multilevel"/>
    <w:tmpl w:val="FD6C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924B9E"/>
    <w:multiLevelType w:val="multilevel"/>
    <w:tmpl w:val="5960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6D75C6"/>
    <w:multiLevelType w:val="multilevel"/>
    <w:tmpl w:val="0D16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3095">
    <w:abstractNumId w:val="1"/>
  </w:num>
  <w:num w:numId="2" w16cid:durableId="437454402">
    <w:abstractNumId w:val="5"/>
  </w:num>
  <w:num w:numId="3" w16cid:durableId="1058825152">
    <w:abstractNumId w:val="7"/>
  </w:num>
  <w:num w:numId="4" w16cid:durableId="1425957986">
    <w:abstractNumId w:val="9"/>
  </w:num>
  <w:num w:numId="5" w16cid:durableId="632180496">
    <w:abstractNumId w:val="6"/>
  </w:num>
  <w:num w:numId="6" w16cid:durableId="817845291">
    <w:abstractNumId w:val="2"/>
  </w:num>
  <w:num w:numId="7" w16cid:durableId="1196847758">
    <w:abstractNumId w:val="3"/>
  </w:num>
  <w:num w:numId="8" w16cid:durableId="1683437841">
    <w:abstractNumId w:val="8"/>
  </w:num>
  <w:num w:numId="9" w16cid:durableId="620496165">
    <w:abstractNumId w:val="0"/>
  </w:num>
  <w:num w:numId="10" w16cid:durableId="2362813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1CA1"/>
    <w:rsid w:val="0002393F"/>
    <w:rsid w:val="00025392"/>
    <w:rsid w:val="00025755"/>
    <w:rsid w:val="0002628D"/>
    <w:rsid w:val="00036911"/>
    <w:rsid w:val="000602DD"/>
    <w:rsid w:val="000623C9"/>
    <w:rsid w:val="00072C0E"/>
    <w:rsid w:val="000840C5"/>
    <w:rsid w:val="00097733"/>
    <w:rsid w:val="000A06F7"/>
    <w:rsid w:val="000B04AE"/>
    <w:rsid w:val="000B08D9"/>
    <w:rsid w:val="000B2A5E"/>
    <w:rsid w:val="000B57C9"/>
    <w:rsid w:val="000C772B"/>
    <w:rsid w:val="000D23C1"/>
    <w:rsid w:val="000E0558"/>
    <w:rsid w:val="000E3F23"/>
    <w:rsid w:val="000E4D8D"/>
    <w:rsid w:val="00106575"/>
    <w:rsid w:val="0010731F"/>
    <w:rsid w:val="00115372"/>
    <w:rsid w:val="00130433"/>
    <w:rsid w:val="00135FE7"/>
    <w:rsid w:val="001446F3"/>
    <w:rsid w:val="00146AC4"/>
    <w:rsid w:val="00147A36"/>
    <w:rsid w:val="00156F1A"/>
    <w:rsid w:val="001629CB"/>
    <w:rsid w:val="00165338"/>
    <w:rsid w:val="001670CC"/>
    <w:rsid w:val="00177A79"/>
    <w:rsid w:val="001A77A8"/>
    <w:rsid w:val="001C2F46"/>
    <w:rsid w:val="001C6E9C"/>
    <w:rsid w:val="001E06CB"/>
    <w:rsid w:val="001F0E96"/>
    <w:rsid w:val="001F34EA"/>
    <w:rsid w:val="001F6420"/>
    <w:rsid w:val="001F74BD"/>
    <w:rsid w:val="00211C2F"/>
    <w:rsid w:val="002257DD"/>
    <w:rsid w:val="00226B02"/>
    <w:rsid w:val="002340F5"/>
    <w:rsid w:val="00255E40"/>
    <w:rsid w:val="002650A5"/>
    <w:rsid w:val="002722B9"/>
    <w:rsid w:val="002747B5"/>
    <w:rsid w:val="002A1518"/>
    <w:rsid w:val="002A26CB"/>
    <w:rsid w:val="002A4AC3"/>
    <w:rsid w:val="002D172A"/>
    <w:rsid w:val="002D4423"/>
    <w:rsid w:val="002E0669"/>
    <w:rsid w:val="002E2E6C"/>
    <w:rsid w:val="003228C2"/>
    <w:rsid w:val="00332293"/>
    <w:rsid w:val="003363A8"/>
    <w:rsid w:val="00341146"/>
    <w:rsid w:val="003419A2"/>
    <w:rsid w:val="003526B8"/>
    <w:rsid w:val="003565B3"/>
    <w:rsid w:val="00377051"/>
    <w:rsid w:val="00386E6C"/>
    <w:rsid w:val="00392FCE"/>
    <w:rsid w:val="003A2B63"/>
    <w:rsid w:val="003B1ECD"/>
    <w:rsid w:val="003B732E"/>
    <w:rsid w:val="003C78FE"/>
    <w:rsid w:val="003D59C7"/>
    <w:rsid w:val="003E5015"/>
    <w:rsid w:val="00436A4C"/>
    <w:rsid w:val="00446D63"/>
    <w:rsid w:val="0046149B"/>
    <w:rsid w:val="00462C7E"/>
    <w:rsid w:val="0046446E"/>
    <w:rsid w:val="004738BB"/>
    <w:rsid w:val="00482390"/>
    <w:rsid w:val="004B1F6B"/>
    <w:rsid w:val="004D0FB0"/>
    <w:rsid w:val="004D3173"/>
    <w:rsid w:val="004E0742"/>
    <w:rsid w:val="004E74D9"/>
    <w:rsid w:val="004E758B"/>
    <w:rsid w:val="005026B8"/>
    <w:rsid w:val="00505682"/>
    <w:rsid w:val="0050685E"/>
    <w:rsid w:val="00521197"/>
    <w:rsid w:val="00521EF5"/>
    <w:rsid w:val="0054283E"/>
    <w:rsid w:val="00544CAE"/>
    <w:rsid w:val="00546C90"/>
    <w:rsid w:val="00557F5D"/>
    <w:rsid w:val="00562AC5"/>
    <w:rsid w:val="00564648"/>
    <w:rsid w:val="00584F49"/>
    <w:rsid w:val="00594ADC"/>
    <w:rsid w:val="005B3E1B"/>
    <w:rsid w:val="005C13E5"/>
    <w:rsid w:val="005E5754"/>
    <w:rsid w:val="005F1592"/>
    <w:rsid w:val="0061004C"/>
    <w:rsid w:val="00636F2B"/>
    <w:rsid w:val="00642172"/>
    <w:rsid w:val="006553F8"/>
    <w:rsid w:val="00665468"/>
    <w:rsid w:val="00671709"/>
    <w:rsid w:val="006907C7"/>
    <w:rsid w:val="006A40D4"/>
    <w:rsid w:val="006B3C45"/>
    <w:rsid w:val="006C5923"/>
    <w:rsid w:val="006D6E3F"/>
    <w:rsid w:val="006E0136"/>
    <w:rsid w:val="006E2406"/>
    <w:rsid w:val="006E2456"/>
    <w:rsid w:val="00705271"/>
    <w:rsid w:val="00706F36"/>
    <w:rsid w:val="007101BD"/>
    <w:rsid w:val="00730B9F"/>
    <w:rsid w:val="00742AF7"/>
    <w:rsid w:val="00745426"/>
    <w:rsid w:val="00774BEC"/>
    <w:rsid w:val="00776717"/>
    <w:rsid w:val="0078379F"/>
    <w:rsid w:val="007B149A"/>
    <w:rsid w:val="007B184A"/>
    <w:rsid w:val="007C3D28"/>
    <w:rsid w:val="007C6672"/>
    <w:rsid w:val="007D08E4"/>
    <w:rsid w:val="007D2307"/>
    <w:rsid w:val="007D4F35"/>
    <w:rsid w:val="007D78FE"/>
    <w:rsid w:val="007E0D13"/>
    <w:rsid w:val="00801466"/>
    <w:rsid w:val="008333DF"/>
    <w:rsid w:val="00836C2D"/>
    <w:rsid w:val="0085667F"/>
    <w:rsid w:val="00860CB2"/>
    <w:rsid w:val="008725A0"/>
    <w:rsid w:val="00875314"/>
    <w:rsid w:val="00890750"/>
    <w:rsid w:val="00891E3C"/>
    <w:rsid w:val="008C25A2"/>
    <w:rsid w:val="008C64E2"/>
    <w:rsid w:val="008E23F2"/>
    <w:rsid w:val="008F10C7"/>
    <w:rsid w:val="008F5458"/>
    <w:rsid w:val="008F65E7"/>
    <w:rsid w:val="008F6743"/>
    <w:rsid w:val="009038AE"/>
    <w:rsid w:val="0092375F"/>
    <w:rsid w:val="00925ED9"/>
    <w:rsid w:val="00974EC0"/>
    <w:rsid w:val="009866CC"/>
    <w:rsid w:val="009A0562"/>
    <w:rsid w:val="009A3EBF"/>
    <w:rsid w:val="009C2CF0"/>
    <w:rsid w:val="009D4C12"/>
    <w:rsid w:val="009D5A5A"/>
    <w:rsid w:val="009E40B6"/>
    <w:rsid w:val="009E4EDE"/>
    <w:rsid w:val="009F5F00"/>
    <w:rsid w:val="00A87F37"/>
    <w:rsid w:val="00A94489"/>
    <w:rsid w:val="00A95F2E"/>
    <w:rsid w:val="00A974F7"/>
    <w:rsid w:val="00AC0A82"/>
    <w:rsid w:val="00AC3953"/>
    <w:rsid w:val="00AC6428"/>
    <w:rsid w:val="00AD2F9F"/>
    <w:rsid w:val="00AD4D1A"/>
    <w:rsid w:val="00AD7F75"/>
    <w:rsid w:val="00AE6D0D"/>
    <w:rsid w:val="00AF4C3C"/>
    <w:rsid w:val="00B04998"/>
    <w:rsid w:val="00B134F8"/>
    <w:rsid w:val="00B2702E"/>
    <w:rsid w:val="00B303A6"/>
    <w:rsid w:val="00B37053"/>
    <w:rsid w:val="00B50D75"/>
    <w:rsid w:val="00B72739"/>
    <w:rsid w:val="00B77D2C"/>
    <w:rsid w:val="00B82144"/>
    <w:rsid w:val="00B878EB"/>
    <w:rsid w:val="00BA4520"/>
    <w:rsid w:val="00BB12E8"/>
    <w:rsid w:val="00BE2E55"/>
    <w:rsid w:val="00BF7431"/>
    <w:rsid w:val="00C02971"/>
    <w:rsid w:val="00C37401"/>
    <w:rsid w:val="00C6053C"/>
    <w:rsid w:val="00C76CCA"/>
    <w:rsid w:val="00C93CC6"/>
    <w:rsid w:val="00C942A7"/>
    <w:rsid w:val="00CA6A16"/>
    <w:rsid w:val="00CB27F1"/>
    <w:rsid w:val="00CC4140"/>
    <w:rsid w:val="00CD7A01"/>
    <w:rsid w:val="00CF4C32"/>
    <w:rsid w:val="00D00FD8"/>
    <w:rsid w:val="00D1683A"/>
    <w:rsid w:val="00D2039A"/>
    <w:rsid w:val="00D2276C"/>
    <w:rsid w:val="00D52688"/>
    <w:rsid w:val="00D657AB"/>
    <w:rsid w:val="00D7342D"/>
    <w:rsid w:val="00D7681D"/>
    <w:rsid w:val="00D80C0A"/>
    <w:rsid w:val="00D832DD"/>
    <w:rsid w:val="00DA433D"/>
    <w:rsid w:val="00DA7ED3"/>
    <w:rsid w:val="00DB4385"/>
    <w:rsid w:val="00DC09B2"/>
    <w:rsid w:val="00DD5EB3"/>
    <w:rsid w:val="00DE4E0D"/>
    <w:rsid w:val="00DF02A5"/>
    <w:rsid w:val="00DF2A2D"/>
    <w:rsid w:val="00E027E7"/>
    <w:rsid w:val="00E02E9A"/>
    <w:rsid w:val="00E0486B"/>
    <w:rsid w:val="00E13DD1"/>
    <w:rsid w:val="00E338BF"/>
    <w:rsid w:val="00E71259"/>
    <w:rsid w:val="00E7685F"/>
    <w:rsid w:val="00E77114"/>
    <w:rsid w:val="00EB58AE"/>
    <w:rsid w:val="00EB5A2D"/>
    <w:rsid w:val="00EB62C4"/>
    <w:rsid w:val="00ED361B"/>
    <w:rsid w:val="00EE355A"/>
    <w:rsid w:val="00F062B0"/>
    <w:rsid w:val="00F103AF"/>
    <w:rsid w:val="00F23353"/>
    <w:rsid w:val="00F40073"/>
    <w:rsid w:val="00F559B2"/>
    <w:rsid w:val="00F66B1E"/>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unhideWhenUsed/>
    <w:rsid w:val="00E7685F"/>
    <w:rPr>
      <w:rFonts w:ascii="Times New Roman" w:hAnsi="Times New Roman" w:cs="Times New Roman"/>
      <w:sz w:val="24"/>
      <w:szCs w:val="24"/>
    </w:rPr>
  </w:style>
  <w:style w:type="table" w:styleId="TableGrid">
    <w:name w:val="Table Grid"/>
    <w:basedOn w:val="TableNormal"/>
    <w:uiPriority w:val="39"/>
    <w:rsid w:val="003770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77051"/>
    <w:rPr>
      <w:b/>
      <w:bCs/>
    </w:rPr>
  </w:style>
  <w:style w:type="paragraph" w:styleId="ListParagraph">
    <w:name w:val="List Paragraph"/>
    <w:basedOn w:val="Normal"/>
    <w:uiPriority w:val="34"/>
    <w:qFormat/>
    <w:rsid w:val="00544C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1128</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10</cp:revision>
  <dcterms:created xsi:type="dcterms:W3CDTF">2026-04-30T11:52:00Z</dcterms:created>
  <dcterms:modified xsi:type="dcterms:W3CDTF">2026-04-30T12:08:00Z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