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0BD0" w14:textId="77777777" w:rsidR="008129AA" w:rsidRPr="00907BCD" w:rsidRDefault="008129AA" w:rsidP="00907BCD">
      <w:pPr>
        <w:jc w:val="center"/>
        <w:outlineLvl w:val="1"/>
        <w:rPr>
          <w:rFonts w:ascii="Times New Roman" w:hAnsi="Times New Roman" w:cs="Times New Roman"/>
          <w:b/>
          <w:bCs/>
          <w:sz w:val="24"/>
          <w:szCs w:val="24"/>
        </w:rPr>
      </w:pPr>
      <w:r w:rsidRPr="00907BCD">
        <w:rPr>
          <w:rFonts w:ascii="Times New Roman" w:hAnsi="Times New Roman" w:cs="Times New Roman"/>
          <w:b/>
          <w:bCs/>
          <w:sz w:val="24"/>
          <w:szCs w:val="24"/>
        </w:rPr>
        <w:t>Linguistic Stratification: Language Barriers and Healthcare Access for Immigrants in the United States</w:t>
      </w:r>
    </w:p>
    <w:p w14:paraId="15D661BA" w14:textId="5F55F96F" w:rsidR="00343528" w:rsidRPr="00907BCD" w:rsidRDefault="00343528" w:rsidP="00907BCD">
      <w:pPr>
        <w:jc w:val="center"/>
        <w:outlineLvl w:val="1"/>
        <w:rPr>
          <w:rFonts w:ascii="Times New Roman" w:hAnsi="Times New Roman" w:cs="Times New Roman"/>
          <w:sz w:val="24"/>
          <w:szCs w:val="24"/>
        </w:rPr>
      </w:pPr>
      <w:r w:rsidRPr="00907BCD">
        <w:rPr>
          <w:rFonts w:ascii="Times New Roman" w:hAnsi="Times New Roman" w:cs="Times New Roman"/>
          <w:sz w:val="24"/>
          <w:szCs w:val="24"/>
        </w:rPr>
        <w:t>Aryn</w:t>
      </w:r>
    </w:p>
    <w:p w14:paraId="7BCC5B54" w14:textId="3D7CB67F" w:rsidR="00166C8F" w:rsidRPr="00907BCD" w:rsidRDefault="00000000" w:rsidP="00907BCD">
      <w:pPr>
        <w:outlineLvl w:val="1"/>
        <w:rPr>
          <w:rFonts w:ascii="Times New Roman" w:hAnsi="Times New Roman" w:cs="Times New Roman"/>
          <w:b/>
          <w:bCs/>
          <w:sz w:val="24"/>
          <w:szCs w:val="24"/>
        </w:rPr>
      </w:pPr>
      <w:r w:rsidRPr="00907BCD">
        <w:rPr>
          <w:rFonts w:ascii="Times New Roman" w:hAnsi="Times New Roman" w:cs="Times New Roman"/>
          <w:b/>
          <w:bCs/>
          <w:sz w:val="24"/>
          <w:szCs w:val="24"/>
        </w:rPr>
        <w:t>Introduction</w:t>
      </w:r>
    </w:p>
    <w:p w14:paraId="69D8A69D" w14:textId="77777777" w:rsidR="00166C8F" w:rsidRPr="00907BCD" w:rsidRDefault="00000000" w:rsidP="00907BCD">
      <w:pPr>
        <w:rPr>
          <w:rFonts w:ascii="Times New Roman" w:hAnsi="Times New Roman" w:cs="Times New Roman"/>
          <w:sz w:val="24"/>
          <w:szCs w:val="24"/>
        </w:rPr>
      </w:pPr>
      <w:r w:rsidRPr="00907BCD">
        <w:rPr>
          <w:rFonts w:ascii="Times New Roman" w:eastAsia="Times New Roman" w:hAnsi="Times New Roman" w:cs="Times New Roman"/>
          <w:b/>
          <w:bCs/>
          <w:color w:val="202122"/>
          <w:spacing w:val="3"/>
          <w:kern w:val="0"/>
          <w:sz w:val="24"/>
          <w:szCs w:val="24"/>
          <w14:ligatures w14:val="none"/>
        </w:rPr>
        <w:tab/>
      </w:r>
      <w:r w:rsidRPr="00907BCD">
        <w:rPr>
          <w:rFonts w:ascii="Times New Roman" w:hAnsi="Times New Roman" w:cs="Times New Roman"/>
          <w:sz w:val="24"/>
          <w:szCs w:val="24"/>
        </w:rPr>
        <w:t>My research topic explores the systemic barriers that non-native English speakers encounter in the medical system and how linguistic differences create disparities in medical care. The research question that this project will focus on is: How do language barriers affect healthcare access for immigrant families in the United States? While healthcare is one of the most basic needs, accessing the right level of attention is often an issue affected by communication difficulties between patients and providers. For immigrant families, limited English proficiency turns routine medical visits into overwhelming problems, causing misdiagnoses, delayed treatments, and an aversion to seeking necessary care. This social issue illustrates an important gap in healthcare equity. Language barriers do not just work as personal inconveniences, but as structural barriers that marginalize vulnerable populations and stress health disparities.</w:t>
      </w:r>
    </w:p>
    <w:p w14:paraId="377CD40A" w14:textId="77777777" w:rsidR="00166C8F" w:rsidRPr="00907BCD" w:rsidRDefault="00000000" w:rsidP="00907BCD">
      <w:pPr>
        <w:rPr>
          <w:rFonts w:ascii="Times New Roman" w:hAnsi="Times New Roman" w:cs="Times New Roman"/>
          <w:sz w:val="24"/>
          <w:szCs w:val="24"/>
        </w:rPr>
      </w:pPr>
      <w:r w:rsidRPr="00907BCD">
        <w:rPr>
          <w:rFonts w:ascii="Times New Roman" w:hAnsi="Times New Roman" w:cs="Times New Roman"/>
          <w:sz w:val="24"/>
          <w:szCs w:val="24"/>
        </w:rPr>
        <w:tab/>
        <w:t xml:space="preserve">This topic is significant to me personally because of my natural interest in learning about ways in which basic human rights are affronted by social barriers, as I have experienced a long history of how people with varying degrees of difficulties with communication often feel helpless by being unable to communicate in an important moment of their lives when they are most vulnerable. Immigrants are frequently subjected to tremendous distress and confusion because they are not able to describe their symptoms accurately or understand a physician's instructions. At the micro-level, these personal interactions influence the health outcomes of a patient at the present time, and he or she starts to have feelings of isolation because of the lack of trust in medical professionals. However, the sociological imagination helps to show that these personal struggles are inherently linked </w:t>
      </w:r>
      <w:r w:rsidRPr="00907BCD">
        <w:rPr>
          <w:rFonts w:ascii="Times New Roman" w:hAnsi="Times New Roman" w:cs="Times New Roman"/>
          <w:sz w:val="24"/>
          <w:szCs w:val="24"/>
        </w:rPr>
        <w:lastRenderedPageBreak/>
        <w:t>to larger systemic forces. At the macro level, institutions within the healthcare system, restrictive political policies, and societal norms determine the distribution of care. When there is a lack of comprehensive translation services in clinics, institutions actively play their part in enforcing social inequality. By covering the individual frustration of the patient together with the structural inadequacies of the medical system, this research makes it very clear how the macro-level institutional policies are directly leading to micro-level health crises.</w:t>
      </w:r>
    </w:p>
    <w:p w14:paraId="6EEB06FE" w14:textId="77777777" w:rsidR="00F82F7B" w:rsidRPr="00907BCD" w:rsidRDefault="00000000" w:rsidP="00907BCD">
      <w:pPr>
        <w:rPr>
          <w:rFonts w:ascii="Times New Roman" w:eastAsiaTheme="majorEastAsia" w:hAnsi="Times New Roman" w:cs="Times New Roman"/>
          <w:b/>
          <w:sz w:val="24"/>
          <w:szCs w:val="24"/>
        </w:rPr>
      </w:pPr>
      <w:r w:rsidRPr="00907BCD">
        <w:rPr>
          <w:rFonts w:ascii="Times New Roman" w:eastAsiaTheme="majorEastAsia" w:hAnsi="Times New Roman" w:cs="Times New Roman"/>
          <w:b/>
          <w:sz w:val="24"/>
          <w:szCs w:val="24"/>
        </w:rPr>
        <w:t>Literature Review</w:t>
      </w:r>
    </w:p>
    <w:p w14:paraId="2238C024" w14:textId="77777777" w:rsidR="00F82F7B"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 xml:space="preserve">The literature available suggests that the language barrier is a structural inequality process that forms an administrative burden hard to bear by immigrant families, thereby failing to navigate the U.S. healthcare system successfully. This systemic problem can be explained in comparison to alternative methodological approaches. A macro-level quantitative scoping review available within the study by Twersky et al. (2024) demonstrates that the entire range of clinical services is not ready to face the specifics of socio-economic problems of populations with little English proficiency (LEP). The main advantage of this review is that it has a general overview; however, considering the human factor of failures in administration, this aspect is weak. On the other hand, Joseph and Martinez (2026) provide a qualitative-level micro-level point of view showing that, despite detailed health reforms in states, immigrants continue to face a huge challenge in either filling out simple enrolment forms or making appointments. Although this qualitative design is very informed and eloquent in terms of its effectiveness in capturing patients' lived experience of negotiating through bureaucratic red tape, it has a narrow demographic and geographical scope for Latinos in Boston. </w:t>
      </w:r>
    </w:p>
    <w:p w14:paraId="762FF7A5" w14:textId="77777777" w:rsidR="00F82F7B"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Although these are the differences in methodology, both studies draw a common conclusion: policy reforms cannot ensure equitable access if sufficient linguistic accommodations are disregarded. As a result, chronic communication obstacles result in delayed prevention and reliance on emergency care, and anchor the creation of health disparities in the long term. But there is an acute conjecture of comprehending how these bureaucratic burdens function even within highly restrictive, anti-immigrant state settings, a nexus of systemic navigation and legal fear that scholars are only just starting to introspect (Aranda et al., 2025).</w:t>
      </w:r>
    </w:p>
    <w:p w14:paraId="040E4A65" w14:textId="78A15D1E" w:rsidR="00F82F7B" w:rsidRPr="00907BCD" w:rsidRDefault="00000000" w:rsidP="00907BCD">
      <w:pPr>
        <w:rPr>
          <w:rFonts w:ascii="Times New Roman" w:eastAsiaTheme="majorEastAsia" w:hAnsi="Times New Roman" w:cs="Times New Roman"/>
          <w:b/>
          <w:sz w:val="24"/>
          <w:szCs w:val="24"/>
        </w:rPr>
      </w:pPr>
      <w:r w:rsidRPr="00907BCD">
        <w:rPr>
          <w:rFonts w:ascii="Times New Roman" w:eastAsiaTheme="majorEastAsia" w:hAnsi="Times New Roman" w:cs="Times New Roman"/>
          <w:bCs/>
          <w:sz w:val="24"/>
          <w:szCs w:val="24"/>
        </w:rPr>
        <w:tab/>
      </w:r>
      <w:r w:rsidR="00E50B57" w:rsidRPr="00907BCD">
        <w:rPr>
          <w:rFonts w:ascii="Times New Roman" w:eastAsiaTheme="majorEastAsia" w:hAnsi="Times New Roman" w:cs="Times New Roman"/>
          <w:bCs/>
          <w:sz w:val="24"/>
          <w:szCs w:val="24"/>
        </w:rPr>
        <w:t>Another major theme in the research focuses on i</w:t>
      </w:r>
      <w:r w:rsidR="00E50B57" w:rsidRPr="00907BCD">
        <w:rPr>
          <w:rFonts w:ascii="Times New Roman" w:eastAsiaTheme="majorEastAsia" w:hAnsi="Times New Roman" w:cs="Times New Roman"/>
          <w:bCs/>
          <w:sz w:val="24"/>
          <w:szCs w:val="24"/>
        </w:rPr>
        <w:t xml:space="preserve">nstitutional </w:t>
      </w:r>
      <w:r w:rsidR="00E50B57" w:rsidRPr="00907BCD">
        <w:rPr>
          <w:rFonts w:ascii="Times New Roman" w:eastAsiaTheme="majorEastAsia" w:hAnsi="Times New Roman" w:cs="Times New Roman"/>
          <w:bCs/>
          <w:sz w:val="24"/>
          <w:szCs w:val="24"/>
        </w:rPr>
        <w:t>d</w:t>
      </w:r>
      <w:r w:rsidR="00E50B57" w:rsidRPr="00907BCD">
        <w:rPr>
          <w:rFonts w:ascii="Times New Roman" w:eastAsiaTheme="majorEastAsia" w:hAnsi="Times New Roman" w:cs="Times New Roman"/>
          <w:bCs/>
          <w:sz w:val="24"/>
          <w:szCs w:val="24"/>
        </w:rPr>
        <w:t xml:space="preserve">iscrimination and </w:t>
      </w:r>
      <w:r w:rsidR="00E50B57" w:rsidRPr="00907BCD">
        <w:rPr>
          <w:rFonts w:ascii="Times New Roman" w:eastAsiaTheme="majorEastAsia" w:hAnsi="Times New Roman" w:cs="Times New Roman"/>
          <w:bCs/>
          <w:sz w:val="24"/>
          <w:szCs w:val="24"/>
        </w:rPr>
        <w:t>p</w:t>
      </w:r>
      <w:r w:rsidR="00E50B57" w:rsidRPr="00907BCD">
        <w:rPr>
          <w:rFonts w:ascii="Times New Roman" w:eastAsiaTheme="majorEastAsia" w:hAnsi="Times New Roman" w:cs="Times New Roman"/>
          <w:bCs/>
          <w:sz w:val="24"/>
          <w:szCs w:val="24"/>
        </w:rPr>
        <w:t>atient-</w:t>
      </w:r>
      <w:r w:rsidR="00E50B57" w:rsidRPr="00907BCD">
        <w:rPr>
          <w:rFonts w:ascii="Times New Roman" w:eastAsiaTheme="majorEastAsia" w:hAnsi="Times New Roman" w:cs="Times New Roman"/>
          <w:bCs/>
          <w:sz w:val="24"/>
          <w:szCs w:val="24"/>
        </w:rPr>
        <w:t>p</w:t>
      </w:r>
      <w:r w:rsidR="00E50B57" w:rsidRPr="00907BCD">
        <w:rPr>
          <w:rFonts w:ascii="Times New Roman" w:eastAsiaTheme="majorEastAsia" w:hAnsi="Times New Roman" w:cs="Times New Roman"/>
          <w:bCs/>
          <w:sz w:val="24"/>
          <w:szCs w:val="24"/>
        </w:rPr>
        <w:t xml:space="preserve">rovider </w:t>
      </w:r>
      <w:r w:rsidR="00E50B57" w:rsidRPr="00907BCD">
        <w:rPr>
          <w:rFonts w:ascii="Times New Roman" w:eastAsiaTheme="majorEastAsia" w:hAnsi="Times New Roman" w:cs="Times New Roman"/>
          <w:bCs/>
          <w:sz w:val="24"/>
          <w:szCs w:val="24"/>
        </w:rPr>
        <w:t>d</w:t>
      </w:r>
      <w:r w:rsidR="00E50B57" w:rsidRPr="00907BCD">
        <w:rPr>
          <w:rFonts w:ascii="Times New Roman" w:eastAsiaTheme="majorEastAsia" w:hAnsi="Times New Roman" w:cs="Times New Roman"/>
          <w:bCs/>
          <w:sz w:val="24"/>
          <w:szCs w:val="24"/>
        </w:rPr>
        <w:t>ynamics</w:t>
      </w:r>
      <w:r w:rsidR="00E50B57" w:rsidRPr="00907BCD">
        <w:rPr>
          <w:rFonts w:ascii="Times New Roman" w:eastAsiaTheme="majorEastAsia" w:hAnsi="Times New Roman" w:cs="Times New Roman"/>
          <w:b/>
          <w:sz w:val="24"/>
          <w:szCs w:val="24"/>
        </w:rPr>
        <w:t xml:space="preserve">. </w:t>
      </w:r>
      <w:r w:rsidRPr="00907BCD">
        <w:rPr>
          <w:rFonts w:ascii="Times New Roman" w:eastAsiaTheme="majorEastAsia" w:hAnsi="Times New Roman" w:cs="Times New Roman"/>
          <w:bCs/>
          <w:sz w:val="24"/>
          <w:szCs w:val="24"/>
        </w:rPr>
        <w:t>In addition to the administrative challenges, language is also a major factor that compromises the quality of interactions between patients and healthcare providers, as it constitutes a type of institutional discrimination in which healthcare institutions do not make enough linguistic accommodations. It has been shown that the lack of effective communication correlates with low trust rates, incredible frustration, and their eventual decrease in health results among LEP patients (Joseph and Martinez, 2026; Twersky et al., 2024). Due to the lack or insufficiency of formal medical interpretation services, patients have to do without ad-hoc interpreters or have to negotiate with providers who are not patient or culturally-competent enough to be able to resolve the communication gap (Joseph and Martinez, 2026). This language gap, therefore, not only diminishes the quality of direct clinical care but also prevents immigrants from visiting clinics in the future for preventive care, enhancing the inequality in the health outcomes in the long term (Twersky et al., 2024). This continuing alienation keeps the vulnerable populations out of reach of the necessary medical resources, and eventually, they are unable to do much until their undiagnosed conditions get out of control, requiring a visit to emergency rooms.</w:t>
      </w:r>
      <w:r w:rsidRPr="00907BCD">
        <w:rPr>
          <w:rFonts w:ascii="Times New Roman" w:eastAsiaTheme="majorEastAsia" w:hAnsi="Times New Roman" w:cs="Times New Roman"/>
          <w:bCs/>
          <w:sz w:val="24"/>
          <w:szCs w:val="24"/>
        </w:rPr>
        <w:t> </w:t>
      </w:r>
    </w:p>
    <w:p w14:paraId="0A467ED8" w14:textId="77777777" w:rsidR="00F82F7B"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The literature emphasizes the fact that the language barrier is not in a vacuum; it overlaps with the restrictive policies of immigration and day-to-day discrimination to further marginalize immigrant families. Comparisons of studies done in opposing socio-political settings depict that this marginalization is evident everywhere. To support their argument, Aranda et al. (2025) use the results of quantitative surveys to illustrate how oppressive state environments alongside daily discrimination impose a sense of profound fear, and this makes the immigrants shun medical care altogether. The statistical correlation of the legal vulnerability and financial instability to healthcare hesitation is one of the greatest aspects of this research, but its weakness lies in the geographical scope, as it was conducted in one conservative state environment.</w:t>
      </w:r>
    </w:p>
    <w:p w14:paraId="4D7CE595" w14:textId="77777777" w:rsidR="00F82F7B"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Conversely, Joseph and Martinez (2026) use qualitative interviews in the state of Massachusetts, where historically inclusive health reform has been in place, but their research indicates no less fear due to language and national anti-immigrant rhetoric. The advantage of such a qualitative method is also that it explores the perceptions of the ordinary healthcare communication process in depth as a threatening, discriminatory practice, but its results can be limited by a sample size largely based on the existing safety-net hospital systems.</w:t>
      </w:r>
    </w:p>
    <w:p w14:paraId="4B80590C" w14:textId="0AD90EA4" w:rsidR="00F82F7B"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 xml:space="preserve">Regardless of </w:t>
      </w:r>
      <w:r w:rsidR="00286D65" w:rsidRPr="00907BCD">
        <w:rPr>
          <w:rFonts w:ascii="Times New Roman" w:eastAsiaTheme="majorEastAsia" w:hAnsi="Times New Roman" w:cs="Times New Roman"/>
          <w:bCs/>
          <w:sz w:val="24"/>
          <w:szCs w:val="24"/>
        </w:rPr>
        <w:t>these</w:t>
      </w:r>
      <w:r w:rsidRPr="00907BCD">
        <w:rPr>
          <w:rFonts w:ascii="Times New Roman" w:eastAsiaTheme="majorEastAsia" w:hAnsi="Times New Roman" w:cs="Times New Roman"/>
          <w:bCs/>
          <w:sz w:val="24"/>
          <w:szCs w:val="24"/>
        </w:rPr>
        <w:t xml:space="preserve"> differences in context and methodology, both papers come to a critical conclusion, namely, systemic discrimination and language segregation are cumulative factors in the form of them perceiving and refusing to belong in regular medical institutions, and this occurs even in the case of legally living immigrants (Aranda et al., 2025). These peripheral immigrant groups are therefore forced to seek their healthcare needs either by informal community-based groupings or shadow health services. Nonetheless, there still is a major gap in the literature about the functioning of such informal networks in other state environments and whether they can be properly deployed to the formal healthcare system without causing serious health crises among people.</w:t>
      </w:r>
    </w:p>
    <w:p w14:paraId="41A04619" w14:textId="4ADF58E7" w:rsidR="00976A21" w:rsidRPr="00907BCD" w:rsidRDefault="00000000" w:rsidP="00907BCD">
      <w:pPr>
        <w:rPr>
          <w:rFonts w:ascii="Times New Roman" w:eastAsiaTheme="majorEastAsia" w:hAnsi="Times New Roman" w:cs="Times New Roman"/>
          <w:b/>
          <w:sz w:val="24"/>
          <w:szCs w:val="24"/>
        </w:rPr>
      </w:pPr>
      <w:r w:rsidRPr="00907BCD">
        <w:rPr>
          <w:rFonts w:ascii="Times New Roman" w:eastAsiaTheme="majorEastAsia" w:hAnsi="Times New Roman" w:cs="Times New Roman"/>
          <w:b/>
          <w:bCs/>
          <w:sz w:val="24"/>
          <w:szCs w:val="24"/>
        </w:rPr>
        <w:t>Sociological Analysis</w:t>
      </w:r>
    </w:p>
    <w:p w14:paraId="2FBEEAD2" w14:textId="2CFAB43D"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In order to gain a better perspective of the problem and how language barriers hinder access to healthcare among immigrant families, one will need to analyze the problem in terms of Conflict Theory. The Conflict Theory is based on the initial efforts of sociologists such as Karl Marx and argues that society is always in conflict over scarce resources and that those in power use institutional frameworks to sustain power and privilege. High-quality medical care, timely appointments, and accurate diagnoses are scarce resources when they apply to the healthcare system in the United States. In this context, language barriers are no longer simply the tragic interpersonal misunderstandings but a system of social stratification that works effectively. The system is designed such that healthcare delivery mainly revolves around the English language, which, in turn, places native English speakers and citizens in a superior position of access and care, and immigrants with limited English proficiency (LEP) at a lower level of access and care (Twersky et al., 2024).</w:t>
      </w:r>
    </w:p>
    <w:p w14:paraId="4A4347C4"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Such unequal allocation of healthcare resources is an example of structural inequality. Structural inequality is a situation whereby the institutions of the society, like the medical system, legal system, education system, etc., are built with some form of bias that always favors certain demographic groups. Language barriers become a structural disadvantage in the context of healthcare. An analysis of healthcare access at the macro level in the United States shows that the LEP groups continuously experience worse health results, greater expenses, and limited access to practically every type of healthcare as compared to English-speaking population groups (Twersky et al., 2024). Since the system was originally created and used by and with the dominant linguistic group, non-English-speaking fluent individuals become a systemic obstacle that cannot be overcome by the individual efforts of immigrant families alone.</w:t>
      </w:r>
    </w:p>
    <w:p w14:paraId="1224FD01"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In addition, the inability of healthcare facilities to offer sufficient linguistic accommodations is also a definite example of institutional discrimination. Institutional discrimination is the unfair and discriminatory mistreatment of a person or a group by society and its institutions in general functioning via a series of bureaucratic procedures, but not via direct personal bias. The administration structure of the system, even in states where extensive health reform should be implemented to reach vulnerable groups, actively discriminates against non-English speakers (Joseph &amp; Martinez, 2026). The administrative load of complex enrollment paperwork, automated telephone scheduling, and insensitivity to cultural factors in the intake procedures disproportionately affects the immigrant families (Joseph &amp; Martinez, 2026). Such bureaucratic obstacles keep LEP individuals in a systemic disadvantage, and they are a form of gatekeeping of the medical services LEP people need.</w:t>
      </w:r>
    </w:p>
    <w:p w14:paraId="3F1A74C1"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And, it is not a linguistic gatekeeping that exists in a vacuum, but that overlaps with disabling socio-political landscapes directly to fuel the extreme marginalization of immigrant groups. Marginalization is the process by which a certain group of people is relegated to the extreme edge of society and is deprived of equal access to rights, opportunities, and resources. The healthcare system turns into a place of danger when the conditions of nativist political situations and anti-immigrant laws combine with language obstacles (Aranda et al., 2025). These systemic rejections can be internalized by the immigrant families, who acutely perceive their unstable social status. The absence of culturally and linguistically competent care further confirms their peripheral status, which is an indication that they are not given priority in their health and well-being by the dominant society.</w:t>
      </w:r>
    </w:p>
    <w:p w14:paraId="41A12548" w14:textId="263AF6CA" w:rsidR="00976A21"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
          <w:bCs/>
          <w:sz w:val="24"/>
          <w:szCs w:val="24"/>
        </w:rPr>
        <w:t>Real-World Examples &amp; Implications</w:t>
      </w:r>
    </w:p>
    <w:p w14:paraId="27C89BBA"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Institutional discrimination and structural inequality are some of the sociological terms that are eloquently demonstrated through real-world analyses of the healthcare navigation of immigrants. The main case, in which bureaucratic roadblocks continue to exist even in a progressive environment, lies in the experiences of Latino immigrants in Boston, Massachusetts. In spite of the state having elaborate, historically encompassing reforms in health that aimed at expanding coverage, language barriers undermined most of the legislative advances made by the LEP individuals (Joseph &amp; Martinez, 2026). The researchers discovered that the administrative workload of filling in voluminous insurance enrollment forms and the lack of a clear and comprehensible English-only appointment scheduling system significantly lowered healthcare availability (Joseph &amp; Martinez, 2026). The sociological implication of this is strong: macro-level policy reforms that increase legal access to healthcare do not suffice at all when the micro-level infrastructure is linguistically inaccessible. The bureaucratic red tape provides a functional obstacle that keeps the immigrant families out of the care that they are technically entitled to obtain.</w:t>
      </w:r>
    </w:p>
    <w:p w14:paraId="560AEAA9"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The disintegration of a patient-provider relationship is another example of system failure once the patient and the provider are in the clinic. Immigrant patients are often left to use informal interpreters, including bilingual children, hospital custodial employees, or automated translation tools, due to a long-standing shortage of formal, culturally competent medical interpreters (Joseph &amp; Martinez, 2026). This dynamic essentially interferes with the professional medical encounter and deprives the patient of his or her autonomy and privacy. This disintegration, sociologically, brings about a strong sense of alienation- a state of feeling isolated by and strangers to the institutions that regulate their lives. Trust is lost when patients are not able to accurately state their symptoms or comprehend their physician's instructions (Joseph &amp; Martinez, 2026). Its clinical implication is a higher occurrence of misdiagnoses, the absence of informed consent, and a considerable decrease in the quality of direct clinical care, which grounds long-term health disparities (Twersky et al., 2024).</w:t>
      </w:r>
    </w:p>
    <w:p w14:paraId="60290D27"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Also, language barriers intersect with repressive state policies, which create the dangerous real-life implications of healthcare hesitancy. In extremely restrictive and politically conservative conditions within states, such as Florida, immigrant families face a language barrier and daily discrimination as well as a sense of being constantly hunted and targeted by law enforcement (Aranda et al., 2025). The healthcare system is highly mistrusted in this environment. This fear is further fueled by the inability to communicate safely and privately with medical staff, which makes many immigrants avoid preventive or routine medical care intentionally (Aranda et al., 2025). The resulting downstream consequences of health are dire: stigmatized groups are discouraged from engaging with formal health care until their undiagnosed, untreated health problems become life-threatening emergencies (Twersky et al., 2024). This not only causes catastrophic personal health consequences on immigrant families but also causes an enormous and unsustainable financial and operational burden on the emergency medical systems, showing how the marginalization of a particular group eventually affects the stability of the larger community.</w:t>
      </w:r>
    </w:p>
    <w:p w14:paraId="509541D5" w14:textId="59D875B9" w:rsidR="00976A21"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
          <w:bCs/>
          <w:sz w:val="24"/>
          <w:szCs w:val="24"/>
        </w:rPr>
        <w:t>Conclusion</w:t>
      </w:r>
    </w:p>
    <w:p w14:paraId="7BA01891"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r>
      <w:r w:rsidRPr="00907BCD">
        <w:rPr>
          <w:rFonts w:ascii="Times New Roman" w:eastAsiaTheme="majorEastAsia" w:hAnsi="Times New Roman" w:cs="Times New Roman"/>
          <w:bCs/>
          <w:sz w:val="24"/>
          <w:szCs w:val="24"/>
        </w:rPr>
        <w:tab/>
        <w:t>To sum up, this study has shown that language barriers are not personal inconveniences, but structural barriers that are prevalent and restrict healthcare access among immigrant families in the United States significantly. By applying the Conflict Theory, it is easy to see that the healthcare system is stratified in a manner that favors the majority, English-speaking population, in an inherent manner. Linguistic inadequacies of the medical institutions to offer sufficient linguistic accommodations are institutional discrimination, which is manifested by excessive administrative demands, strained patient-provider relationships, and health reluctance.</w:t>
      </w:r>
    </w:p>
    <w:p w14:paraId="269817DE"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tab/>
        <w:t>Combined with repressive political environments, these language obstacles actively contribute to the exclusion of vulnerable immigrant groups, who have to negotiate a system that was not designed to support their fundamental communicative processes. With the help of the sociological imagination, we can perceive the fact that the personal fight of immigrant families in their attempts to communicate with a doctor is, in reality, a direct manifestation of greater, macro-level structural failures. Finally, ensuring that the United States is truly a healthy and equitable country would not only be achieved by expanding access to insurance or implementing nominal health reforms, but also by fundamentally restructuring the institutions to actively prevent language-based discrimination and contribute to equitable and culturally competent medical conditions of all populations.</w:t>
      </w:r>
    </w:p>
    <w:p w14:paraId="0EA8F0E7" w14:textId="77777777" w:rsidR="00242EB0" w:rsidRPr="00907BCD" w:rsidRDefault="00000000" w:rsidP="00907BCD">
      <w:pPr>
        <w:rPr>
          <w:rFonts w:ascii="Times New Roman" w:eastAsiaTheme="majorEastAsia" w:hAnsi="Times New Roman" w:cs="Times New Roman"/>
          <w:bCs/>
          <w:sz w:val="24"/>
          <w:szCs w:val="24"/>
        </w:rPr>
      </w:pPr>
      <w:r w:rsidRPr="00907BCD">
        <w:rPr>
          <w:rFonts w:ascii="Times New Roman" w:eastAsiaTheme="majorEastAsia" w:hAnsi="Times New Roman" w:cs="Times New Roman"/>
          <w:bCs/>
          <w:sz w:val="24"/>
          <w:szCs w:val="24"/>
        </w:rPr>
        <w:br w:type="page"/>
      </w:r>
    </w:p>
    <w:p w14:paraId="155ADE8F" w14:textId="33D85E5D" w:rsidR="002153BB" w:rsidRPr="00907BCD" w:rsidRDefault="00000000" w:rsidP="00907BCD">
      <w:pPr>
        <w:rPr>
          <w:rFonts w:ascii="Times New Roman" w:hAnsi="Times New Roman" w:cs="Times New Roman"/>
          <w:b/>
          <w:bCs/>
          <w:sz w:val="24"/>
          <w:szCs w:val="24"/>
        </w:rPr>
      </w:pPr>
      <w:r w:rsidRPr="00907BCD">
        <w:rPr>
          <w:rFonts w:ascii="Times New Roman" w:hAnsi="Times New Roman" w:cs="Times New Roman"/>
          <w:b/>
          <w:bCs/>
          <w:sz w:val="24"/>
          <w:szCs w:val="24"/>
        </w:rPr>
        <w:t>References</w:t>
      </w:r>
    </w:p>
    <w:p w14:paraId="5E1CFB48" w14:textId="77777777" w:rsidR="00A3276B" w:rsidRPr="00907BCD" w:rsidRDefault="00000000" w:rsidP="00907BCD">
      <w:pPr>
        <w:ind w:left="720" w:hanging="720"/>
        <w:rPr>
          <w:rFonts w:ascii="Times New Roman" w:hAnsi="Times New Roman" w:cs="Times New Roman"/>
          <w:sz w:val="24"/>
          <w:szCs w:val="24"/>
        </w:rPr>
      </w:pPr>
      <w:r w:rsidRPr="00907BCD">
        <w:rPr>
          <w:rFonts w:ascii="Times New Roman" w:hAnsi="Times New Roman" w:cs="Times New Roman"/>
          <w:sz w:val="24"/>
          <w:szCs w:val="24"/>
        </w:rPr>
        <w:t xml:space="preserve">Aranda, E., Ventura Molina, L., Vaquera, E., Matos Pichardo, E., &amp; Iyamu, O. (2025). Hesitation to seek healthcare among immigrants in a restrictive state context. </w:t>
      </w:r>
      <w:r w:rsidRPr="00907BCD">
        <w:rPr>
          <w:rFonts w:ascii="Times New Roman" w:hAnsi="Times New Roman" w:cs="Times New Roman"/>
          <w:i/>
          <w:iCs/>
          <w:sz w:val="24"/>
          <w:szCs w:val="24"/>
        </w:rPr>
        <w:t>Social Sciences, 14</w:t>
      </w:r>
      <w:r w:rsidRPr="00907BCD">
        <w:rPr>
          <w:rFonts w:ascii="Times New Roman" w:hAnsi="Times New Roman" w:cs="Times New Roman"/>
          <w:sz w:val="24"/>
          <w:szCs w:val="24"/>
        </w:rPr>
        <w:t xml:space="preserve">(7), 433. </w:t>
      </w:r>
      <w:hyperlink r:id="rId7" w:tgtFrame="_blank" w:history="1">
        <w:r w:rsidR="00A3276B" w:rsidRPr="00907BCD">
          <w:rPr>
            <w:rStyle w:val="Hyperlink"/>
            <w:rFonts w:ascii="Times New Roman" w:hAnsi="Times New Roman" w:cs="Times New Roman"/>
            <w:sz w:val="24"/>
            <w:szCs w:val="24"/>
          </w:rPr>
          <w:t>https://doi.org/10.3390/socsci14070433</w:t>
        </w:r>
      </w:hyperlink>
    </w:p>
    <w:p w14:paraId="3201B596" w14:textId="77777777" w:rsidR="00A3276B" w:rsidRPr="00907BCD" w:rsidRDefault="00000000" w:rsidP="00907BCD">
      <w:pPr>
        <w:ind w:left="720" w:hanging="720"/>
        <w:rPr>
          <w:rFonts w:ascii="Times New Roman" w:hAnsi="Times New Roman" w:cs="Times New Roman"/>
          <w:sz w:val="24"/>
          <w:szCs w:val="24"/>
        </w:rPr>
      </w:pPr>
      <w:r w:rsidRPr="00907BCD">
        <w:rPr>
          <w:rFonts w:ascii="Times New Roman" w:hAnsi="Times New Roman" w:cs="Times New Roman"/>
          <w:sz w:val="24"/>
          <w:szCs w:val="24"/>
        </w:rPr>
        <w:t xml:space="preserve">Joseph, T. D., &amp; Martinez, V. (2026). Language barriers and healthcare challenges for immigrants with limited English proficiency after health reform in the United States. </w:t>
      </w:r>
      <w:r w:rsidRPr="00907BCD">
        <w:rPr>
          <w:rFonts w:ascii="Times New Roman" w:hAnsi="Times New Roman" w:cs="Times New Roman"/>
          <w:i/>
          <w:iCs/>
          <w:sz w:val="24"/>
          <w:szCs w:val="24"/>
        </w:rPr>
        <w:t>International Journal of Environmental Research and Public Health, 23</w:t>
      </w:r>
      <w:r w:rsidRPr="00907BCD">
        <w:rPr>
          <w:rFonts w:ascii="Times New Roman" w:hAnsi="Times New Roman" w:cs="Times New Roman"/>
          <w:sz w:val="24"/>
          <w:szCs w:val="24"/>
        </w:rPr>
        <w:t xml:space="preserve">(1), 9. </w:t>
      </w:r>
      <w:hyperlink r:id="rId8" w:tgtFrame="_blank" w:history="1">
        <w:r w:rsidR="00A3276B" w:rsidRPr="00907BCD">
          <w:rPr>
            <w:rStyle w:val="Hyperlink"/>
            <w:rFonts w:ascii="Times New Roman" w:hAnsi="Times New Roman" w:cs="Times New Roman"/>
            <w:sz w:val="24"/>
            <w:szCs w:val="24"/>
          </w:rPr>
          <w:t>https://doi.org/10.3390/ijerph23010009</w:t>
        </w:r>
      </w:hyperlink>
    </w:p>
    <w:p w14:paraId="7283FBEA" w14:textId="2BE32596" w:rsidR="00C11764" w:rsidRPr="00907BCD" w:rsidRDefault="00000000" w:rsidP="00907BCD">
      <w:pPr>
        <w:ind w:left="720" w:hanging="720"/>
        <w:rPr>
          <w:rFonts w:ascii="Times New Roman" w:hAnsi="Times New Roman" w:cs="Times New Roman"/>
          <w:sz w:val="24"/>
          <w:szCs w:val="24"/>
        </w:rPr>
      </w:pPr>
      <w:r w:rsidRPr="00907BCD">
        <w:rPr>
          <w:rFonts w:ascii="Times New Roman" w:hAnsi="Times New Roman" w:cs="Times New Roman"/>
          <w:sz w:val="24"/>
          <w:szCs w:val="24"/>
        </w:rPr>
        <w:t xml:space="preserve">Twersky, S. E., Jefferson, R., Garcia-Ortiz, L., Williams, E., &amp; Pina, C. (2024). The impact of limited English proficiency on healthcare access and outcomes in the U.S.: A scoping review. </w:t>
      </w:r>
      <w:r w:rsidRPr="00907BCD">
        <w:rPr>
          <w:rFonts w:ascii="Times New Roman" w:hAnsi="Times New Roman" w:cs="Times New Roman"/>
          <w:i/>
          <w:iCs/>
          <w:sz w:val="24"/>
          <w:szCs w:val="24"/>
        </w:rPr>
        <w:t>Healthcare, 12</w:t>
      </w:r>
      <w:r w:rsidRPr="00907BCD">
        <w:rPr>
          <w:rFonts w:ascii="Times New Roman" w:hAnsi="Times New Roman" w:cs="Times New Roman"/>
          <w:sz w:val="24"/>
          <w:szCs w:val="24"/>
        </w:rPr>
        <w:t xml:space="preserve">(3), 364. </w:t>
      </w:r>
      <w:hyperlink r:id="rId9" w:tgtFrame="_blank" w:history="1">
        <w:r w:rsidR="00C11764" w:rsidRPr="00907BCD">
          <w:rPr>
            <w:rStyle w:val="Hyperlink"/>
            <w:rFonts w:ascii="Times New Roman" w:hAnsi="Times New Roman" w:cs="Times New Roman"/>
            <w:sz w:val="24"/>
            <w:szCs w:val="24"/>
          </w:rPr>
          <w:t>https://doi.org/10.3390/healthcare12030364</w:t>
        </w:r>
      </w:hyperlink>
    </w:p>
    <w:p w14:paraId="02C24FCB" w14:textId="4862A79C" w:rsidR="003F194D" w:rsidRPr="00907BCD" w:rsidRDefault="003F194D" w:rsidP="00907BCD">
      <w:pPr>
        <w:rPr>
          <w:rFonts w:ascii="Times New Roman" w:hAnsi="Times New Roman" w:cs="Times New Roman"/>
          <w:sz w:val="24"/>
          <w:szCs w:val="24"/>
        </w:rPr>
      </w:pPr>
    </w:p>
    <w:p w14:paraId="16C4F306" w14:textId="77777777" w:rsidR="003F194D" w:rsidRPr="00907BCD" w:rsidRDefault="003F194D" w:rsidP="00907BCD">
      <w:pPr>
        <w:rPr>
          <w:rFonts w:ascii="Times New Roman" w:hAnsi="Times New Roman" w:cs="Times New Roman"/>
          <w:sz w:val="24"/>
          <w:szCs w:val="24"/>
        </w:rPr>
      </w:pPr>
    </w:p>
    <w:p w14:paraId="0849850B" w14:textId="77777777" w:rsidR="003F194D" w:rsidRPr="00907BCD" w:rsidRDefault="003F194D" w:rsidP="00907BCD">
      <w:pPr>
        <w:rPr>
          <w:rFonts w:ascii="Times New Roman" w:hAnsi="Times New Roman" w:cs="Times New Roman"/>
          <w:sz w:val="24"/>
          <w:szCs w:val="24"/>
        </w:rPr>
      </w:pPr>
    </w:p>
    <w:p w14:paraId="15E884F3" w14:textId="77777777" w:rsidR="003F194D" w:rsidRPr="00907BCD" w:rsidRDefault="003F194D" w:rsidP="00907BCD">
      <w:pPr>
        <w:rPr>
          <w:rFonts w:ascii="Times New Roman" w:hAnsi="Times New Roman" w:cs="Times New Roman"/>
          <w:sz w:val="24"/>
          <w:szCs w:val="24"/>
        </w:rPr>
      </w:pPr>
    </w:p>
    <w:p w14:paraId="2013821F" w14:textId="77777777" w:rsidR="003F194D" w:rsidRPr="00907BCD" w:rsidRDefault="003F194D" w:rsidP="00907BCD">
      <w:pPr>
        <w:rPr>
          <w:rFonts w:ascii="Times New Roman" w:hAnsi="Times New Roman" w:cs="Times New Roman"/>
          <w:sz w:val="24"/>
          <w:szCs w:val="24"/>
        </w:rPr>
      </w:pPr>
    </w:p>
    <w:p w14:paraId="1C5D59F5" w14:textId="77777777" w:rsidR="003F194D" w:rsidRPr="00907BCD" w:rsidRDefault="003F194D" w:rsidP="00907BCD">
      <w:pPr>
        <w:jc w:val="center"/>
        <w:rPr>
          <w:rFonts w:ascii="Times New Roman" w:hAnsi="Times New Roman" w:cs="Times New Roman"/>
          <w:sz w:val="24"/>
          <w:szCs w:val="24"/>
        </w:rPr>
      </w:pPr>
    </w:p>
    <w:p w14:paraId="6B94A369" w14:textId="77777777" w:rsidR="003F194D" w:rsidRPr="00907BCD" w:rsidRDefault="003F194D" w:rsidP="00907BCD">
      <w:pPr>
        <w:rPr>
          <w:rFonts w:ascii="Times New Roman" w:hAnsi="Times New Roman" w:cs="Times New Roman"/>
          <w:sz w:val="24"/>
          <w:szCs w:val="24"/>
        </w:rPr>
      </w:pPr>
    </w:p>
    <w:p w14:paraId="065B7317" w14:textId="77777777" w:rsidR="003F194D" w:rsidRPr="00907BCD" w:rsidRDefault="003F194D" w:rsidP="00907BCD">
      <w:pPr>
        <w:rPr>
          <w:rFonts w:ascii="Times New Roman" w:hAnsi="Times New Roman" w:cs="Times New Roman"/>
          <w:sz w:val="24"/>
          <w:szCs w:val="24"/>
        </w:rPr>
      </w:pPr>
    </w:p>
    <w:p w14:paraId="0BC4F673" w14:textId="7D5AEB41" w:rsidR="003F194D" w:rsidRPr="00907BCD" w:rsidRDefault="003F194D" w:rsidP="00907BCD">
      <w:pPr>
        <w:rPr>
          <w:rFonts w:ascii="Times New Roman" w:hAnsi="Times New Roman" w:cs="Times New Roman"/>
          <w:sz w:val="24"/>
          <w:szCs w:val="24"/>
        </w:rPr>
      </w:pPr>
    </w:p>
    <w:p w14:paraId="24001BC5" w14:textId="3336117C" w:rsidR="007B6058" w:rsidRPr="00907BCD" w:rsidRDefault="00000000" w:rsidP="00907BCD">
      <w:pPr>
        <w:tabs>
          <w:tab w:val="left" w:pos="2910"/>
        </w:tabs>
        <w:rPr>
          <w:rFonts w:ascii="Times New Roman" w:hAnsi="Times New Roman" w:cs="Times New Roman"/>
          <w:sz w:val="24"/>
          <w:szCs w:val="24"/>
        </w:rPr>
      </w:pPr>
      <w:r w:rsidRPr="00907BCD">
        <w:rPr>
          <w:rFonts w:ascii="Times New Roman" w:hAnsi="Times New Roman" w:cs="Times New Roman"/>
          <w:sz w:val="24"/>
          <w:szCs w:val="24"/>
        </w:rPr>
        <w:tab/>
      </w:r>
    </w:p>
    <w:sectPr w:rsidR="007B6058" w:rsidRPr="00907BC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9732" w14:textId="77777777" w:rsidR="00DA354A" w:rsidRDefault="00DA354A">
      <w:pPr>
        <w:spacing w:line="240" w:lineRule="auto"/>
      </w:pPr>
      <w:r>
        <w:separator/>
      </w:r>
    </w:p>
  </w:endnote>
  <w:endnote w:type="continuationSeparator" w:id="0">
    <w:p w14:paraId="1FDF4F85" w14:textId="77777777" w:rsidR="00DA354A" w:rsidRDefault="00DA3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2481" w14:textId="77777777" w:rsidR="00DA354A" w:rsidRDefault="00DA354A">
      <w:pPr>
        <w:spacing w:line="240" w:lineRule="auto"/>
      </w:pPr>
      <w:r>
        <w:separator/>
      </w:r>
    </w:p>
  </w:footnote>
  <w:footnote w:type="continuationSeparator" w:id="0">
    <w:p w14:paraId="3B657950" w14:textId="77777777" w:rsidR="00DA354A" w:rsidRDefault="00DA35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674771"/>
      <w:docPartObj>
        <w:docPartGallery w:val="Page Numbers (Top of Page)"/>
        <w:docPartUnique/>
      </w:docPartObj>
    </w:sdtPr>
    <w:sdtEndPr>
      <w:rPr>
        <w:rFonts w:ascii="Times New Roman" w:hAnsi="Times New Roman" w:cs="Times New Roman"/>
        <w:noProof/>
        <w:sz w:val="24"/>
        <w:szCs w:val="24"/>
      </w:rPr>
    </w:sdtEndPr>
    <w:sdtContent>
      <w:p w14:paraId="3F64E93F" w14:textId="0B3461EC" w:rsidR="000F1AD3" w:rsidRPr="000F1AD3" w:rsidRDefault="00000000">
        <w:pPr>
          <w:pStyle w:val="Header"/>
          <w:jc w:val="right"/>
          <w:rPr>
            <w:rFonts w:ascii="Times New Roman" w:hAnsi="Times New Roman" w:cs="Times New Roman"/>
            <w:sz w:val="24"/>
            <w:szCs w:val="24"/>
          </w:rPr>
        </w:pPr>
        <w:r w:rsidRPr="000F1AD3">
          <w:rPr>
            <w:rFonts w:ascii="Times New Roman" w:hAnsi="Times New Roman" w:cs="Times New Roman"/>
            <w:sz w:val="24"/>
            <w:szCs w:val="24"/>
          </w:rPr>
          <w:fldChar w:fldCharType="begin"/>
        </w:r>
        <w:r w:rsidRPr="000F1AD3">
          <w:rPr>
            <w:rFonts w:ascii="Times New Roman" w:hAnsi="Times New Roman" w:cs="Times New Roman"/>
            <w:sz w:val="24"/>
            <w:szCs w:val="24"/>
          </w:rPr>
          <w:instrText xml:space="preserve"> PAGE   \* MERGEFORMAT </w:instrText>
        </w:r>
        <w:r w:rsidRPr="000F1AD3">
          <w:rPr>
            <w:rFonts w:ascii="Times New Roman" w:hAnsi="Times New Roman" w:cs="Times New Roman"/>
            <w:sz w:val="24"/>
            <w:szCs w:val="24"/>
          </w:rPr>
          <w:fldChar w:fldCharType="separate"/>
        </w:r>
        <w:r>
          <w:rPr>
            <w:rFonts w:ascii="Times New Roman" w:hAnsi="Times New Roman" w:cs="Times New Roman"/>
            <w:noProof/>
            <w:sz w:val="24"/>
            <w:szCs w:val="24"/>
          </w:rPr>
          <w:t>1</w:t>
        </w:r>
        <w:r w:rsidRPr="000F1AD3">
          <w:rPr>
            <w:rFonts w:ascii="Times New Roman" w:hAnsi="Times New Roman" w:cs="Times New Roman"/>
            <w:noProof/>
            <w:sz w:val="24"/>
            <w:szCs w:val="24"/>
          </w:rPr>
          <w:fldChar w:fldCharType="end"/>
        </w:r>
      </w:p>
    </w:sdtContent>
  </w:sdt>
  <w:p w14:paraId="2EBF114F" w14:textId="77777777" w:rsidR="000F1AD3" w:rsidRPr="000F1AD3" w:rsidRDefault="000F1A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67F6"/>
    <w:multiLevelType w:val="hybridMultilevel"/>
    <w:tmpl w:val="9D9ABBF6"/>
    <w:lvl w:ilvl="0" w:tplc="155271E4">
      <w:start w:val="1"/>
      <w:numFmt w:val="decimal"/>
      <w:lvlText w:val="%1."/>
      <w:lvlJc w:val="left"/>
      <w:pPr>
        <w:ind w:left="720" w:hanging="360"/>
      </w:pPr>
      <w:rPr>
        <w:rFonts w:hint="default"/>
        <w:b/>
      </w:rPr>
    </w:lvl>
    <w:lvl w:ilvl="1" w:tplc="D90C317E" w:tentative="1">
      <w:start w:val="1"/>
      <w:numFmt w:val="lowerLetter"/>
      <w:lvlText w:val="%2."/>
      <w:lvlJc w:val="left"/>
      <w:pPr>
        <w:ind w:left="1440" w:hanging="360"/>
      </w:pPr>
    </w:lvl>
    <w:lvl w:ilvl="2" w:tplc="00364DF0" w:tentative="1">
      <w:start w:val="1"/>
      <w:numFmt w:val="lowerRoman"/>
      <w:lvlText w:val="%3."/>
      <w:lvlJc w:val="right"/>
      <w:pPr>
        <w:ind w:left="2160" w:hanging="180"/>
      </w:pPr>
    </w:lvl>
    <w:lvl w:ilvl="3" w:tplc="6784B15E" w:tentative="1">
      <w:start w:val="1"/>
      <w:numFmt w:val="decimal"/>
      <w:lvlText w:val="%4."/>
      <w:lvlJc w:val="left"/>
      <w:pPr>
        <w:ind w:left="2880" w:hanging="360"/>
      </w:pPr>
    </w:lvl>
    <w:lvl w:ilvl="4" w:tplc="E2B24B3E" w:tentative="1">
      <w:start w:val="1"/>
      <w:numFmt w:val="lowerLetter"/>
      <w:lvlText w:val="%5."/>
      <w:lvlJc w:val="left"/>
      <w:pPr>
        <w:ind w:left="3600" w:hanging="360"/>
      </w:pPr>
    </w:lvl>
    <w:lvl w:ilvl="5" w:tplc="FA589B60" w:tentative="1">
      <w:start w:val="1"/>
      <w:numFmt w:val="lowerRoman"/>
      <w:lvlText w:val="%6."/>
      <w:lvlJc w:val="right"/>
      <w:pPr>
        <w:ind w:left="4320" w:hanging="180"/>
      </w:pPr>
    </w:lvl>
    <w:lvl w:ilvl="6" w:tplc="4B9025EE" w:tentative="1">
      <w:start w:val="1"/>
      <w:numFmt w:val="decimal"/>
      <w:lvlText w:val="%7."/>
      <w:lvlJc w:val="left"/>
      <w:pPr>
        <w:ind w:left="5040" w:hanging="360"/>
      </w:pPr>
    </w:lvl>
    <w:lvl w:ilvl="7" w:tplc="87F42888" w:tentative="1">
      <w:start w:val="1"/>
      <w:numFmt w:val="lowerLetter"/>
      <w:lvlText w:val="%8."/>
      <w:lvlJc w:val="left"/>
      <w:pPr>
        <w:ind w:left="5760" w:hanging="360"/>
      </w:pPr>
    </w:lvl>
    <w:lvl w:ilvl="8" w:tplc="6E9A9678" w:tentative="1">
      <w:start w:val="1"/>
      <w:numFmt w:val="lowerRoman"/>
      <w:lvlText w:val="%9."/>
      <w:lvlJc w:val="right"/>
      <w:pPr>
        <w:ind w:left="6480" w:hanging="180"/>
      </w:pPr>
    </w:lvl>
  </w:abstractNum>
  <w:abstractNum w:abstractNumId="1" w15:restartNumberingAfterBreak="0">
    <w:nsid w:val="3C3D31B6"/>
    <w:multiLevelType w:val="hybridMultilevel"/>
    <w:tmpl w:val="94609216"/>
    <w:lvl w:ilvl="0" w:tplc="D8B89F0A">
      <w:start w:val="1"/>
      <w:numFmt w:val="decimal"/>
      <w:lvlText w:val="%1."/>
      <w:lvlJc w:val="left"/>
      <w:pPr>
        <w:ind w:left="720" w:hanging="360"/>
      </w:pPr>
      <w:rPr>
        <w:rFonts w:hint="default"/>
        <w:b/>
      </w:rPr>
    </w:lvl>
    <w:lvl w:ilvl="1" w:tplc="D5187E44" w:tentative="1">
      <w:start w:val="1"/>
      <w:numFmt w:val="lowerLetter"/>
      <w:lvlText w:val="%2."/>
      <w:lvlJc w:val="left"/>
      <w:pPr>
        <w:ind w:left="1440" w:hanging="360"/>
      </w:pPr>
    </w:lvl>
    <w:lvl w:ilvl="2" w:tplc="5D40DD9E" w:tentative="1">
      <w:start w:val="1"/>
      <w:numFmt w:val="lowerRoman"/>
      <w:lvlText w:val="%3."/>
      <w:lvlJc w:val="right"/>
      <w:pPr>
        <w:ind w:left="2160" w:hanging="180"/>
      </w:pPr>
    </w:lvl>
    <w:lvl w:ilvl="3" w:tplc="950A054C" w:tentative="1">
      <w:start w:val="1"/>
      <w:numFmt w:val="decimal"/>
      <w:lvlText w:val="%4."/>
      <w:lvlJc w:val="left"/>
      <w:pPr>
        <w:ind w:left="2880" w:hanging="360"/>
      </w:pPr>
    </w:lvl>
    <w:lvl w:ilvl="4" w:tplc="6C6CF8F4" w:tentative="1">
      <w:start w:val="1"/>
      <w:numFmt w:val="lowerLetter"/>
      <w:lvlText w:val="%5."/>
      <w:lvlJc w:val="left"/>
      <w:pPr>
        <w:ind w:left="3600" w:hanging="360"/>
      </w:pPr>
    </w:lvl>
    <w:lvl w:ilvl="5" w:tplc="66D2FDE8" w:tentative="1">
      <w:start w:val="1"/>
      <w:numFmt w:val="lowerRoman"/>
      <w:lvlText w:val="%6."/>
      <w:lvlJc w:val="right"/>
      <w:pPr>
        <w:ind w:left="4320" w:hanging="180"/>
      </w:pPr>
    </w:lvl>
    <w:lvl w:ilvl="6" w:tplc="437ECF14" w:tentative="1">
      <w:start w:val="1"/>
      <w:numFmt w:val="decimal"/>
      <w:lvlText w:val="%7."/>
      <w:lvlJc w:val="left"/>
      <w:pPr>
        <w:ind w:left="5040" w:hanging="360"/>
      </w:pPr>
    </w:lvl>
    <w:lvl w:ilvl="7" w:tplc="ABDECE88" w:tentative="1">
      <w:start w:val="1"/>
      <w:numFmt w:val="lowerLetter"/>
      <w:lvlText w:val="%8."/>
      <w:lvlJc w:val="left"/>
      <w:pPr>
        <w:ind w:left="5760" w:hanging="360"/>
      </w:pPr>
    </w:lvl>
    <w:lvl w:ilvl="8" w:tplc="B6742174" w:tentative="1">
      <w:start w:val="1"/>
      <w:numFmt w:val="lowerRoman"/>
      <w:lvlText w:val="%9."/>
      <w:lvlJc w:val="right"/>
      <w:pPr>
        <w:ind w:left="6480" w:hanging="180"/>
      </w:pPr>
    </w:lvl>
  </w:abstractNum>
  <w:abstractNum w:abstractNumId="2" w15:restartNumberingAfterBreak="0">
    <w:nsid w:val="521374A2"/>
    <w:multiLevelType w:val="multilevel"/>
    <w:tmpl w:val="6190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2D0AB1"/>
    <w:multiLevelType w:val="hybridMultilevel"/>
    <w:tmpl w:val="2F202348"/>
    <w:lvl w:ilvl="0" w:tplc="C902CFD2">
      <w:start w:val="1"/>
      <w:numFmt w:val="decimal"/>
      <w:lvlText w:val="%1."/>
      <w:lvlJc w:val="left"/>
      <w:pPr>
        <w:ind w:left="720" w:hanging="360"/>
      </w:pPr>
      <w:rPr>
        <w:rFonts w:hint="default"/>
        <w:b/>
      </w:rPr>
    </w:lvl>
    <w:lvl w:ilvl="1" w:tplc="43045FB2" w:tentative="1">
      <w:start w:val="1"/>
      <w:numFmt w:val="lowerLetter"/>
      <w:lvlText w:val="%2."/>
      <w:lvlJc w:val="left"/>
      <w:pPr>
        <w:ind w:left="1440" w:hanging="360"/>
      </w:pPr>
    </w:lvl>
    <w:lvl w:ilvl="2" w:tplc="A25C4860" w:tentative="1">
      <w:start w:val="1"/>
      <w:numFmt w:val="lowerRoman"/>
      <w:lvlText w:val="%3."/>
      <w:lvlJc w:val="right"/>
      <w:pPr>
        <w:ind w:left="2160" w:hanging="180"/>
      </w:pPr>
    </w:lvl>
    <w:lvl w:ilvl="3" w:tplc="EB20CB84" w:tentative="1">
      <w:start w:val="1"/>
      <w:numFmt w:val="decimal"/>
      <w:lvlText w:val="%4."/>
      <w:lvlJc w:val="left"/>
      <w:pPr>
        <w:ind w:left="2880" w:hanging="360"/>
      </w:pPr>
    </w:lvl>
    <w:lvl w:ilvl="4" w:tplc="2D80105E" w:tentative="1">
      <w:start w:val="1"/>
      <w:numFmt w:val="lowerLetter"/>
      <w:lvlText w:val="%5."/>
      <w:lvlJc w:val="left"/>
      <w:pPr>
        <w:ind w:left="3600" w:hanging="360"/>
      </w:pPr>
    </w:lvl>
    <w:lvl w:ilvl="5" w:tplc="68FE4D0E" w:tentative="1">
      <w:start w:val="1"/>
      <w:numFmt w:val="lowerRoman"/>
      <w:lvlText w:val="%6."/>
      <w:lvlJc w:val="right"/>
      <w:pPr>
        <w:ind w:left="4320" w:hanging="180"/>
      </w:pPr>
    </w:lvl>
    <w:lvl w:ilvl="6" w:tplc="94F62BE2" w:tentative="1">
      <w:start w:val="1"/>
      <w:numFmt w:val="decimal"/>
      <w:lvlText w:val="%7."/>
      <w:lvlJc w:val="left"/>
      <w:pPr>
        <w:ind w:left="5040" w:hanging="360"/>
      </w:pPr>
    </w:lvl>
    <w:lvl w:ilvl="7" w:tplc="CEA89852" w:tentative="1">
      <w:start w:val="1"/>
      <w:numFmt w:val="lowerLetter"/>
      <w:lvlText w:val="%8."/>
      <w:lvlJc w:val="left"/>
      <w:pPr>
        <w:ind w:left="5760" w:hanging="360"/>
      </w:pPr>
    </w:lvl>
    <w:lvl w:ilvl="8" w:tplc="0A48D0DA" w:tentative="1">
      <w:start w:val="1"/>
      <w:numFmt w:val="lowerRoman"/>
      <w:lvlText w:val="%9."/>
      <w:lvlJc w:val="right"/>
      <w:pPr>
        <w:ind w:left="6480" w:hanging="180"/>
      </w:pPr>
    </w:lvl>
  </w:abstractNum>
  <w:num w:numId="1" w16cid:durableId="451635833">
    <w:abstractNumId w:val="2"/>
  </w:num>
  <w:num w:numId="2" w16cid:durableId="1510216476">
    <w:abstractNumId w:val="0"/>
  </w:num>
  <w:num w:numId="3" w16cid:durableId="77870724">
    <w:abstractNumId w:val="1"/>
  </w:num>
  <w:num w:numId="4" w16cid:durableId="93220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xNjIwMjE1ABHGSjpKwanFxZn5eSAFRrUAV93FbCwAAAA="/>
  </w:docVars>
  <w:rsids>
    <w:rsidRoot w:val="00EE553D"/>
    <w:rsid w:val="00002EE9"/>
    <w:rsid w:val="00014856"/>
    <w:rsid w:val="0001699E"/>
    <w:rsid w:val="00037BB7"/>
    <w:rsid w:val="000405EB"/>
    <w:rsid w:val="000653B4"/>
    <w:rsid w:val="0007612D"/>
    <w:rsid w:val="000A60B7"/>
    <w:rsid w:val="000C506A"/>
    <w:rsid w:val="000F1AD3"/>
    <w:rsid w:val="0010382C"/>
    <w:rsid w:val="00160E5F"/>
    <w:rsid w:val="001626C3"/>
    <w:rsid w:val="00166C8F"/>
    <w:rsid w:val="0017501E"/>
    <w:rsid w:val="001E7727"/>
    <w:rsid w:val="002153BB"/>
    <w:rsid w:val="002275D6"/>
    <w:rsid w:val="00242EB0"/>
    <w:rsid w:val="0024617D"/>
    <w:rsid w:val="0025245D"/>
    <w:rsid w:val="0025722A"/>
    <w:rsid w:val="00272DCF"/>
    <w:rsid w:val="00281616"/>
    <w:rsid w:val="00285796"/>
    <w:rsid w:val="00286D65"/>
    <w:rsid w:val="002B120C"/>
    <w:rsid w:val="002C0462"/>
    <w:rsid w:val="002F39C0"/>
    <w:rsid w:val="00341BA7"/>
    <w:rsid w:val="00343528"/>
    <w:rsid w:val="00350A72"/>
    <w:rsid w:val="003F194D"/>
    <w:rsid w:val="003F78E7"/>
    <w:rsid w:val="00405F7A"/>
    <w:rsid w:val="00436BCF"/>
    <w:rsid w:val="00471EE9"/>
    <w:rsid w:val="004833E9"/>
    <w:rsid w:val="004C4B92"/>
    <w:rsid w:val="004C7B4A"/>
    <w:rsid w:val="00560123"/>
    <w:rsid w:val="0057626C"/>
    <w:rsid w:val="00577C23"/>
    <w:rsid w:val="005B41EF"/>
    <w:rsid w:val="005D6E5E"/>
    <w:rsid w:val="005E0BE6"/>
    <w:rsid w:val="00643F42"/>
    <w:rsid w:val="00673055"/>
    <w:rsid w:val="006C22A8"/>
    <w:rsid w:val="006C2E58"/>
    <w:rsid w:val="006C7581"/>
    <w:rsid w:val="006F028E"/>
    <w:rsid w:val="00704221"/>
    <w:rsid w:val="00720547"/>
    <w:rsid w:val="0072796B"/>
    <w:rsid w:val="007449E4"/>
    <w:rsid w:val="007502EC"/>
    <w:rsid w:val="007A2AA3"/>
    <w:rsid w:val="007B1C30"/>
    <w:rsid w:val="007B6058"/>
    <w:rsid w:val="008101A2"/>
    <w:rsid w:val="008129AA"/>
    <w:rsid w:val="00833EA6"/>
    <w:rsid w:val="00844F36"/>
    <w:rsid w:val="00847B5F"/>
    <w:rsid w:val="008B347A"/>
    <w:rsid w:val="00907BCD"/>
    <w:rsid w:val="00936DA7"/>
    <w:rsid w:val="00951034"/>
    <w:rsid w:val="00973C0B"/>
    <w:rsid w:val="00976A21"/>
    <w:rsid w:val="009B1D2D"/>
    <w:rsid w:val="009E3FBA"/>
    <w:rsid w:val="009E7EF8"/>
    <w:rsid w:val="00A0628E"/>
    <w:rsid w:val="00A216A8"/>
    <w:rsid w:val="00A3276B"/>
    <w:rsid w:val="00A32E49"/>
    <w:rsid w:val="00A56F74"/>
    <w:rsid w:val="00A772DD"/>
    <w:rsid w:val="00AA0E0E"/>
    <w:rsid w:val="00B75EB8"/>
    <w:rsid w:val="00B836B0"/>
    <w:rsid w:val="00B87545"/>
    <w:rsid w:val="00BC0474"/>
    <w:rsid w:val="00BD0433"/>
    <w:rsid w:val="00BF1671"/>
    <w:rsid w:val="00BF566F"/>
    <w:rsid w:val="00C105D3"/>
    <w:rsid w:val="00C11764"/>
    <w:rsid w:val="00C13341"/>
    <w:rsid w:val="00C138CD"/>
    <w:rsid w:val="00C21979"/>
    <w:rsid w:val="00C326D8"/>
    <w:rsid w:val="00C36625"/>
    <w:rsid w:val="00C73639"/>
    <w:rsid w:val="00CA30BA"/>
    <w:rsid w:val="00CC245F"/>
    <w:rsid w:val="00CE110F"/>
    <w:rsid w:val="00CE140A"/>
    <w:rsid w:val="00CF0054"/>
    <w:rsid w:val="00D524DA"/>
    <w:rsid w:val="00D7135B"/>
    <w:rsid w:val="00D82538"/>
    <w:rsid w:val="00DA354A"/>
    <w:rsid w:val="00DB5022"/>
    <w:rsid w:val="00DE3840"/>
    <w:rsid w:val="00E338B8"/>
    <w:rsid w:val="00E50B57"/>
    <w:rsid w:val="00E5364F"/>
    <w:rsid w:val="00E57B1E"/>
    <w:rsid w:val="00E77239"/>
    <w:rsid w:val="00ED4979"/>
    <w:rsid w:val="00EE0C58"/>
    <w:rsid w:val="00EE2508"/>
    <w:rsid w:val="00EE2B0D"/>
    <w:rsid w:val="00EE553D"/>
    <w:rsid w:val="00EF2883"/>
    <w:rsid w:val="00EF468C"/>
    <w:rsid w:val="00F10FE5"/>
    <w:rsid w:val="00F743F1"/>
    <w:rsid w:val="00F82F7B"/>
    <w:rsid w:val="00FB16BF"/>
    <w:rsid w:val="00FB2B43"/>
    <w:rsid w:val="00FC5891"/>
    <w:rsid w:val="00FC76DF"/>
    <w:rsid w:val="00FD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3C83"/>
  <w15:chartTrackingRefBased/>
  <w15:docId w15:val="{6549A28E-BDEA-47E3-9C38-8A89A497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3D"/>
    <w:rPr>
      <w:lang w:val="en-US"/>
    </w:rPr>
  </w:style>
  <w:style w:type="paragraph" w:styleId="Heading1">
    <w:name w:val="heading 1"/>
    <w:basedOn w:val="Normal"/>
    <w:next w:val="Normal"/>
    <w:link w:val="Heading1Char"/>
    <w:autoRedefine/>
    <w:uiPriority w:val="9"/>
    <w:qFormat/>
    <w:rsid w:val="00A772DD"/>
    <w:pPr>
      <w:keepNext/>
      <w:keepLines/>
      <w:contextualSpacing/>
      <w:jc w:val="center"/>
      <w:outlineLvl w:val="0"/>
    </w:pPr>
    <w:rPr>
      <w:rFonts w:ascii="Times New Roman" w:eastAsiaTheme="majorEastAsia" w:hAnsi="Times New Roman" w:cstheme="majorBidi"/>
      <w:b/>
      <w:sz w:val="24"/>
      <w:szCs w:val="40"/>
      <w:lang w:val="en-GB"/>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EE55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5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5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2DD"/>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EE553D"/>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EE553D"/>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E553D"/>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EE553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E553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E553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E553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E5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53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E55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53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E55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53D"/>
    <w:rPr>
      <w:i/>
      <w:iCs/>
      <w:color w:val="404040" w:themeColor="text1" w:themeTint="BF"/>
      <w:lang w:val="en-US"/>
    </w:rPr>
  </w:style>
  <w:style w:type="paragraph" w:styleId="ListParagraph">
    <w:name w:val="List Paragraph"/>
    <w:basedOn w:val="Normal"/>
    <w:uiPriority w:val="34"/>
    <w:qFormat/>
    <w:rsid w:val="00EE553D"/>
    <w:pPr>
      <w:ind w:left="720"/>
      <w:contextualSpacing/>
    </w:pPr>
  </w:style>
  <w:style w:type="character" w:styleId="IntenseEmphasis">
    <w:name w:val="Intense Emphasis"/>
    <w:basedOn w:val="DefaultParagraphFont"/>
    <w:uiPriority w:val="21"/>
    <w:qFormat/>
    <w:rsid w:val="00EE553D"/>
    <w:rPr>
      <w:i/>
      <w:iCs/>
      <w:color w:val="2F5496" w:themeColor="accent1" w:themeShade="BF"/>
    </w:rPr>
  </w:style>
  <w:style w:type="paragraph" w:styleId="IntenseQuote">
    <w:name w:val="Intense Quote"/>
    <w:basedOn w:val="Normal"/>
    <w:next w:val="Normal"/>
    <w:link w:val="IntenseQuoteChar"/>
    <w:uiPriority w:val="30"/>
    <w:qFormat/>
    <w:rsid w:val="00EE5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53D"/>
    <w:rPr>
      <w:i/>
      <w:iCs/>
      <w:color w:val="2F5496" w:themeColor="accent1" w:themeShade="BF"/>
      <w:lang w:val="en-US"/>
    </w:rPr>
  </w:style>
  <w:style w:type="character" w:styleId="IntenseReference">
    <w:name w:val="Intense Reference"/>
    <w:basedOn w:val="DefaultParagraphFont"/>
    <w:uiPriority w:val="32"/>
    <w:qFormat/>
    <w:rsid w:val="00EE553D"/>
    <w:rPr>
      <w:b/>
      <w:bCs/>
      <w:smallCaps/>
      <w:color w:val="2F5496" w:themeColor="accent1" w:themeShade="BF"/>
      <w:spacing w:val="5"/>
    </w:rPr>
  </w:style>
  <w:style w:type="character" w:styleId="Hyperlink">
    <w:name w:val="Hyperlink"/>
    <w:basedOn w:val="DefaultParagraphFont"/>
    <w:uiPriority w:val="99"/>
    <w:unhideWhenUsed/>
    <w:rsid w:val="00EE553D"/>
    <w:rPr>
      <w:color w:val="0563C1" w:themeColor="hyperlink"/>
      <w:u w:val="single"/>
    </w:rPr>
  </w:style>
  <w:style w:type="character" w:customStyle="1" w:styleId="UnresolvedMention1">
    <w:name w:val="Unresolved Mention1"/>
    <w:basedOn w:val="DefaultParagraphFont"/>
    <w:uiPriority w:val="99"/>
    <w:semiHidden/>
    <w:unhideWhenUsed/>
    <w:rsid w:val="00FC5891"/>
    <w:rPr>
      <w:color w:val="605E5C"/>
      <w:shd w:val="clear" w:color="auto" w:fill="E1DFDD"/>
    </w:rPr>
  </w:style>
  <w:style w:type="paragraph" w:styleId="Header">
    <w:name w:val="header"/>
    <w:basedOn w:val="Normal"/>
    <w:link w:val="HeaderChar"/>
    <w:uiPriority w:val="99"/>
    <w:unhideWhenUsed/>
    <w:rsid w:val="000F1AD3"/>
    <w:pPr>
      <w:tabs>
        <w:tab w:val="center" w:pos="4513"/>
        <w:tab w:val="right" w:pos="9026"/>
      </w:tabs>
      <w:spacing w:line="240" w:lineRule="auto"/>
    </w:pPr>
  </w:style>
  <w:style w:type="character" w:customStyle="1" w:styleId="HeaderChar">
    <w:name w:val="Header Char"/>
    <w:basedOn w:val="DefaultParagraphFont"/>
    <w:link w:val="Header"/>
    <w:uiPriority w:val="99"/>
    <w:rsid w:val="000F1AD3"/>
    <w:rPr>
      <w:lang w:val="en-US"/>
    </w:rPr>
  </w:style>
  <w:style w:type="paragraph" w:styleId="Footer">
    <w:name w:val="footer"/>
    <w:basedOn w:val="Normal"/>
    <w:link w:val="FooterChar"/>
    <w:uiPriority w:val="99"/>
    <w:unhideWhenUsed/>
    <w:rsid w:val="000F1AD3"/>
    <w:pPr>
      <w:tabs>
        <w:tab w:val="center" w:pos="4513"/>
        <w:tab w:val="right" w:pos="9026"/>
      </w:tabs>
      <w:spacing w:line="240" w:lineRule="auto"/>
    </w:pPr>
  </w:style>
  <w:style w:type="character" w:customStyle="1" w:styleId="FooterChar">
    <w:name w:val="Footer Char"/>
    <w:basedOn w:val="DefaultParagraphFont"/>
    <w:link w:val="Footer"/>
    <w:uiPriority w:val="99"/>
    <w:rsid w:val="000F1AD3"/>
    <w:rPr>
      <w:lang w:val="en-US"/>
    </w:rPr>
  </w:style>
  <w:style w:type="character" w:styleId="CommentReference">
    <w:name w:val="annotation reference"/>
    <w:basedOn w:val="DefaultParagraphFont"/>
    <w:uiPriority w:val="99"/>
    <w:semiHidden/>
    <w:unhideWhenUsed/>
    <w:rsid w:val="00FB16BF"/>
    <w:rPr>
      <w:sz w:val="16"/>
      <w:szCs w:val="16"/>
    </w:rPr>
  </w:style>
  <w:style w:type="paragraph" w:styleId="CommentText">
    <w:name w:val="annotation text"/>
    <w:basedOn w:val="Normal"/>
    <w:link w:val="CommentTextChar"/>
    <w:uiPriority w:val="99"/>
    <w:semiHidden/>
    <w:unhideWhenUsed/>
    <w:rsid w:val="00FB16BF"/>
    <w:pPr>
      <w:spacing w:line="240" w:lineRule="auto"/>
    </w:pPr>
    <w:rPr>
      <w:sz w:val="20"/>
      <w:szCs w:val="20"/>
    </w:rPr>
  </w:style>
  <w:style w:type="character" w:customStyle="1" w:styleId="CommentTextChar">
    <w:name w:val="Comment Text Char"/>
    <w:basedOn w:val="DefaultParagraphFont"/>
    <w:link w:val="CommentText"/>
    <w:uiPriority w:val="99"/>
    <w:semiHidden/>
    <w:rsid w:val="00FB16BF"/>
    <w:rPr>
      <w:sz w:val="20"/>
      <w:szCs w:val="20"/>
      <w:lang w:val="en-US"/>
    </w:rPr>
  </w:style>
  <w:style w:type="paragraph" w:styleId="CommentSubject">
    <w:name w:val="annotation subject"/>
    <w:basedOn w:val="CommentText"/>
    <w:next w:val="CommentText"/>
    <w:link w:val="CommentSubjectChar"/>
    <w:uiPriority w:val="99"/>
    <w:semiHidden/>
    <w:unhideWhenUsed/>
    <w:rsid w:val="00FB16BF"/>
    <w:rPr>
      <w:b/>
      <w:bCs/>
    </w:rPr>
  </w:style>
  <w:style w:type="character" w:customStyle="1" w:styleId="CommentSubjectChar">
    <w:name w:val="Comment Subject Char"/>
    <w:basedOn w:val="CommentTextChar"/>
    <w:link w:val="CommentSubject"/>
    <w:uiPriority w:val="99"/>
    <w:semiHidden/>
    <w:rsid w:val="00FB16BF"/>
    <w:rPr>
      <w:b/>
      <w:bCs/>
      <w:sz w:val="20"/>
      <w:szCs w:val="20"/>
      <w:lang w:val="en-US"/>
    </w:rPr>
  </w:style>
  <w:style w:type="character" w:styleId="FollowedHyperlink">
    <w:name w:val="FollowedHyperlink"/>
    <w:basedOn w:val="DefaultParagraphFont"/>
    <w:uiPriority w:val="99"/>
    <w:semiHidden/>
    <w:unhideWhenUsed/>
    <w:rsid w:val="00F743F1"/>
    <w:rPr>
      <w:color w:val="954F72" w:themeColor="followedHyperlink"/>
      <w:u w:val="single"/>
    </w:rPr>
  </w:style>
  <w:style w:type="paragraph" w:styleId="BalloonText">
    <w:name w:val="Balloon Text"/>
    <w:basedOn w:val="Normal"/>
    <w:link w:val="BalloonTextChar"/>
    <w:uiPriority w:val="99"/>
    <w:semiHidden/>
    <w:unhideWhenUsed/>
    <w:rsid w:val="003F19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94D"/>
    <w:rPr>
      <w:rFonts w:ascii="Segoe UI" w:hAnsi="Segoe UI" w:cs="Segoe UI"/>
      <w:sz w:val="18"/>
      <w:szCs w:val="18"/>
      <w:lang w:val="en-US"/>
    </w:rPr>
  </w:style>
  <w:style w:type="paragraph" w:styleId="NormalWeb">
    <w:name w:val="Normal (Web)"/>
    <w:basedOn w:val="Normal"/>
    <w:uiPriority w:val="99"/>
    <w:semiHidden/>
    <w:unhideWhenUsed/>
    <w:rsid w:val="00272D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23010009" TargetMode="External"/><Relationship Id="rId3" Type="http://schemas.openxmlformats.org/officeDocument/2006/relationships/settings" Target="settings.xml"/><Relationship Id="rId7" Type="http://schemas.openxmlformats.org/officeDocument/2006/relationships/hyperlink" Target="https://doi.org/10.3390/socsci140704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healthcare12030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2349</Words>
  <Characters>15765</Characters>
  <Application>Microsoft Office Word</Application>
  <DocSecurity>0</DocSecurity>
  <Lines>242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SS</cp:lastModifiedBy>
  <cp:revision>12</cp:revision>
  <dcterms:created xsi:type="dcterms:W3CDTF">2026-04-21T21:06:00Z</dcterms:created>
  <dcterms:modified xsi:type="dcterms:W3CDTF">2026-04-21T21:23:00Z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e1dd3a3f-6bf5-4974-a12a-0c34fbe641c8</vt:lpwstr>
  </property>
</Properties>
</file>