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EAFB" w14:textId="77777777" w:rsidR="00CB2165" w:rsidRPr="00715F36" w:rsidRDefault="00CB2165" w:rsidP="00715F36">
      <w:pPr>
        <w:spacing w:line="480" w:lineRule="auto"/>
        <w:contextualSpacing/>
      </w:pPr>
    </w:p>
    <w:p w14:paraId="2453919A" w14:textId="77777777" w:rsidR="00CB2165" w:rsidRPr="00715F36" w:rsidRDefault="00CB2165" w:rsidP="00715F36">
      <w:pPr>
        <w:spacing w:line="480" w:lineRule="auto"/>
        <w:contextualSpacing/>
      </w:pPr>
    </w:p>
    <w:p w14:paraId="35058282" w14:textId="77777777" w:rsidR="00CB2165" w:rsidRPr="00715F36" w:rsidRDefault="00CB2165" w:rsidP="00715F36">
      <w:pPr>
        <w:spacing w:line="480" w:lineRule="auto"/>
        <w:contextualSpacing/>
      </w:pPr>
    </w:p>
    <w:p w14:paraId="5D3DF83D" w14:textId="29C3E986" w:rsidR="00CB2165" w:rsidRDefault="005D31BA" w:rsidP="004D049E">
      <w:pPr>
        <w:spacing w:line="480" w:lineRule="auto"/>
        <w:contextualSpacing/>
        <w:jc w:val="center"/>
      </w:pPr>
      <w:r w:rsidRPr="00482509">
        <w:rPr>
          <w:b/>
        </w:rPr>
        <w:t>Power in the Therapeutic Relationship: How It Operates and How It Can Be Used Ethically</w:t>
      </w:r>
    </w:p>
    <w:p w14:paraId="1AE6ADA9" w14:textId="77777777" w:rsidR="004D049E" w:rsidRPr="00715F36" w:rsidRDefault="004D049E" w:rsidP="004D049E">
      <w:pPr>
        <w:spacing w:line="480" w:lineRule="auto"/>
        <w:contextualSpacing/>
        <w:jc w:val="center"/>
      </w:pPr>
    </w:p>
    <w:p w14:paraId="374C43D5" w14:textId="1EA0E3FE" w:rsidR="00CB2165" w:rsidRPr="00715F36" w:rsidRDefault="005D31BA" w:rsidP="004D049E">
      <w:pPr>
        <w:spacing w:line="480" w:lineRule="auto"/>
        <w:contextualSpacing/>
        <w:jc w:val="center"/>
      </w:pPr>
      <w:r w:rsidRPr="00482509">
        <w:t>Name</w:t>
      </w:r>
    </w:p>
    <w:p w14:paraId="5278DE56" w14:textId="1D575893" w:rsidR="00CB2165" w:rsidRPr="00715F36" w:rsidRDefault="005D31BA" w:rsidP="004D049E">
      <w:pPr>
        <w:spacing w:line="480" w:lineRule="auto"/>
        <w:contextualSpacing/>
        <w:jc w:val="center"/>
      </w:pPr>
      <w:r w:rsidRPr="00482509">
        <w:t>Institution Name</w:t>
      </w:r>
    </w:p>
    <w:p w14:paraId="6737EC49" w14:textId="3AEDB5F3" w:rsidR="00CB2165" w:rsidRPr="00715F36" w:rsidRDefault="005D31BA" w:rsidP="004D049E">
      <w:pPr>
        <w:spacing w:line="480" w:lineRule="auto"/>
        <w:contextualSpacing/>
        <w:jc w:val="center"/>
      </w:pPr>
      <w:r w:rsidRPr="00482509">
        <w:t>Course Name</w:t>
      </w:r>
    </w:p>
    <w:p w14:paraId="671B0F57" w14:textId="4C6A0E1B" w:rsidR="00CB2165" w:rsidRPr="00715F36" w:rsidRDefault="005D31BA" w:rsidP="004D049E">
      <w:pPr>
        <w:spacing w:line="480" w:lineRule="auto"/>
        <w:contextualSpacing/>
        <w:jc w:val="center"/>
      </w:pPr>
      <w:r w:rsidRPr="00482509">
        <w:t>Instructor Name</w:t>
      </w:r>
    </w:p>
    <w:p w14:paraId="14286030" w14:textId="77777777" w:rsidR="00CB2165" w:rsidRPr="00482509" w:rsidRDefault="005D31BA" w:rsidP="00482509">
      <w:pPr>
        <w:spacing w:line="480" w:lineRule="auto"/>
        <w:contextualSpacing/>
        <w:jc w:val="center"/>
      </w:pPr>
      <w:r w:rsidRPr="00482509">
        <w:t>Date</w:t>
      </w:r>
    </w:p>
    <w:p w14:paraId="6BFED445" w14:textId="77777777" w:rsidR="00CB2165" w:rsidRPr="00715F36" w:rsidRDefault="005D31BA" w:rsidP="00715F36">
      <w:pPr>
        <w:spacing w:line="480" w:lineRule="auto"/>
        <w:contextualSpacing/>
      </w:pPr>
      <w:r w:rsidRPr="00715F36">
        <w:br w:type="page"/>
      </w:r>
    </w:p>
    <w:p w14:paraId="0336B644" w14:textId="45FF299C" w:rsidR="00CB2165" w:rsidRPr="00482509" w:rsidRDefault="005D31BA" w:rsidP="002A6CC3">
      <w:pPr>
        <w:spacing w:line="480" w:lineRule="auto"/>
        <w:contextualSpacing/>
        <w:jc w:val="center"/>
      </w:pPr>
      <w:r w:rsidRPr="00482509">
        <w:rPr>
          <w:b/>
        </w:rPr>
        <w:lastRenderedPageBreak/>
        <w:t>Power in the Therapeutic Relationship: How It Operates and How It Can Be Used Ethically</w:t>
      </w:r>
    </w:p>
    <w:p w14:paraId="16F5926E" w14:textId="04BB3D27" w:rsidR="00CB2165" w:rsidRPr="00715F36" w:rsidRDefault="003865CD" w:rsidP="00940709">
      <w:pPr>
        <w:spacing w:line="480" w:lineRule="auto"/>
        <w:ind w:firstLine="720"/>
        <w:contextualSpacing/>
      </w:pPr>
      <w:r>
        <w:t>Counseling relationships are an intentional and time-limited partnership where every dimension of the relationship, such as the session format and language, is guided towards the client's benefit. In contrast to social or familial relationships, this professional relationship is characterized by a deliberate power imbalance that determines the pattern of conversation, fostering trust, and defining the overall course of therapy (Kottler and Shepard, 2014). To counselors-in-training, the comprehension of this dynamic, as it is, is not a choice but a key professional obligation. Lack of awareness of the impact of the role of a counselor can lead to accidental harm to the clients and undermine the ethics of the therapeutic process.</w:t>
      </w:r>
      <w:r w:rsidR="0093655D">
        <w:t xml:space="preserve"> </w:t>
      </w:r>
      <w:r>
        <w:t>The concept of power within counseling is not based on power or domination, but instead, power is structural and relational. The counselor possesses specific training, credentials, and institutional authority, whereas the client frequently arrives in a weak position in therapy in a distressed state of uncertainty or emotional dysfunction. Such a disparity necessitates counselors to be very attentive to how they express their authority, be it directly or indirectly, during the therapy process (Tschuschke et al., 2022). Responsible use of power is not about avoiding this imbalance but about handling it ethically. Integrating professional authority, empathy, cultural humility, and respect for client autonomy can make the latter a supportive force and not a coercive one. Healing, growth, and self-exploration can be part of power in this sense and not control. Finally, the discussion focuses on the character of power in therapeutic relationships, the place of empathy in balancing power, and the ethical and cultural matters that can inform responsible counseling practice</w:t>
      </w:r>
      <w:r w:rsidR="00B96A1A" w:rsidRPr="00715F36">
        <w:t>.</w:t>
      </w:r>
    </w:p>
    <w:p w14:paraId="2C9F41DC" w14:textId="77777777" w:rsidR="00940709" w:rsidRDefault="00940709" w:rsidP="00715F36">
      <w:pPr>
        <w:spacing w:line="480" w:lineRule="auto"/>
        <w:contextualSpacing/>
        <w:jc w:val="center"/>
        <w:rPr>
          <w:b/>
        </w:rPr>
      </w:pPr>
    </w:p>
    <w:p w14:paraId="65FF432D" w14:textId="4BCA5803" w:rsidR="00CB2165" w:rsidRPr="00715F36" w:rsidRDefault="005D31BA" w:rsidP="00715F36">
      <w:pPr>
        <w:spacing w:line="480" w:lineRule="auto"/>
        <w:contextualSpacing/>
        <w:jc w:val="center"/>
      </w:pPr>
      <w:r w:rsidRPr="00482509">
        <w:rPr>
          <w:b/>
        </w:rPr>
        <w:lastRenderedPageBreak/>
        <w:t>Defining the Therapeutic Relationship</w:t>
      </w:r>
    </w:p>
    <w:p w14:paraId="76E05B9A" w14:textId="315312B6" w:rsidR="00CB2165" w:rsidRPr="00715F36" w:rsidRDefault="009A2442" w:rsidP="00940709">
      <w:pPr>
        <w:spacing w:line="480" w:lineRule="auto"/>
        <w:ind w:firstLine="720"/>
        <w:contextualSpacing/>
      </w:pPr>
      <w:r w:rsidRPr="00715F36">
        <w:t>Ethical practice is based on a clear understanding of what makes the therapeutic relationship unique compared to other human relationships. Kottler and Shepard (2014) state that this relationship contrasts friendship or family relationships in three basic ways: it is unidirectional in its focus, professionally constrained, and time-constrained by nature. Where friendships are reciprocal, each party expecting emotional support, shared disclosure, and mutual benefit, the therapeutic relationship is intentionally asymmetrical. All aspects of the encounter are structured on the client's needs, goals, and development. The personal life, feelings, and struggles of the counselor do not enter a therapeutic frame, not because they are irrelevant to the counselor's humanity, but because their intrusion would disrupt the client's space for self-exploration.</w:t>
      </w:r>
      <w:r w:rsidR="0047398E">
        <w:t xml:space="preserve"> </w:t>
      </w:r>
      <w:r w:rsidRPr="00715F36">
        <w:t xml:space="preserve">This power imbalance has critical clinical and ethical implications. Since the credentialed professional (the one who diagnoses, records, and interprets) is the counselor, the client may subconsciously affirm the interpretation that the counselor places on his/her own experience. According to Saxler et al. (2024), though the therapeutic alliance is spiritually collaborative, a relationship framework exists in which the therapist continues to exert significant control over the story and the direction of therapy. </w:t>
      </w:r>
      <w:r w:rsidR="00DD16C6" w:rsidRPr="00715F36">
        <w:t>This power of epistemic, the right to tell what is clinically relevant or pathological, should be practiced carefully, because this authority can open up or foreclose a sense-making process by a client</w:t>
      </w:r>
      <w:r w:rsidRPr="00715F36">
        <w:t xml:space="preserve">. The boundaries of relational limits that establish the therapeutic relationship are not limits of limits but measures of ethics.  They avoid the dynamics that may occur in the interaction between professional authority and personal intimacy, and they conserve the circumstances where trust may grow securely.  By valuing these boundaries, a counselor informs the client that he or she is present in a relationship with one aim: the client's well-being. Once these limits are upheld regularly, the clients learn to </w:t>
      </w:r>
      <w:r w:rsidRPr="00715F36">
        <w:lastRenderedPageBreak/>
        <w:t>be more open and forthcoming since they can be assured that they will not be taken advantage of due to their vulnerability. Through this, the formality of the therapeutic relationship, its asymmetry, and boundaries all contribute to the psychological safety that must be established before meaningful therapeutic work can take place (Cirasola et al., 2024).</w:t>
      </w:r>
    </w:p>
    <w:p w14:paraId="2ED5AD7D" w14:textId="67CE7255" w:rsidR="00CB2165" w:rsidRPr="00715F36" w:rsidRDefault="005D31BA" w:rsidP="0087237F">
      <w:pPr>
        <w:spacing w:line="480" w:lineRule="auto"/>
        <w:contextualSpacing/>
        <w:jc w:val="center"/>
      </w:pPr>
      <w:r w:rsidRPr="00482509">
        <w:rPr>
          <w:b/>
        </w:rPr>
        <w:t>Core Relationship Factors</w:t>
      </w:r>
    </w:p>
    <w:p w14:paraId="566D65C8" w14:textId="77777777" w:rsidR="00CB2165" w:rsidRPr="00715F36" w:rsidRDefault="005D31BA" w:rsidP="00482509">
      <w:pPr>
        <w:spacing w:line="480" w:lineRule="auto"/>
        <w:contextualSpacing/>
        <w:jc w:val="both"/>
      </w:pPr>
      <w:r w:rsidRPr="00482509">
        <w:rPr>
          <w:b/>
        </w:rPr>
        <w:t>Professional Power</w:t>
      </w:r>
    </w:p>
    <w:p w14:paraId="77FE7DF9" w14:textId="0AC50607" w:rsidR="00CB2165" w:rsidRPr="00715F36" w:rsidRDefault="00DD16C6" w:rsidP="00940709">
      <w:pPr>
        <w:spacing w:line="480" w:lineRule="auto"/>
        <w:ind w:firstLine="720"/>
        <w:contextualSpacing/>
      </w:pPr>
      <w:r w:rsidRPr="00715F36">
        <w:t xml:space="preserve">The structural framework of the therapeutic relation is professional power.  It is based not on personal authority but on institutionally approved expertise, the counselor's training, credentials, and formal role within a healthcare or educational system. </w:t>
      </w:r>
      <w:r w:rsidR="00582634" w:rsidRPr="00715F36">
        <w:fldChar w:fldCharType="begin"/>
      </w:r>
      <w:r w:rsidR="00582634" w:rsidRPr="00715F36">
        <w:instrText xml:space="preserve"> ADDIN ZOTERO_ITEM CSL_CITATION {"citationID":"LZF3Mm2R","properties":{"formattedCitation":"(Amari, 2023)","plainCitation":"(Amari, 2023)","noteIndex":0},"citationItems":[{"id":19234,"uris":["http://zotero.org/users/local/0lIgp9yg/items/E4K2U9T9"],"itemData":{"id":19234,"type":"article-journal","abstract":"This reflective report critically evaluates my developing professional identity as a counseling psychologist. Using the Power Threat Meaning Framework, I present a self-formulation to make sense of my experiences during the second stage of my training. To begin with, I consider how multiple forms of power were operating in the complex relationship between personal and professional spheres. As I appraise my professional development, I examine the threats posed by the negative use of power and the resulting challenges within my practice. Drawing from research, psychological theories, and relevant case examples, I explore the meaning I attached to my experiences while managing complex problems and professional issues. In my endeavor to act according to ethical and professional guidelines, I consider my threat responses to preserve my functioning within program learning and professional practice. By appreciating my access to power resources, I demonstrate my willingness and ability to engage with feedback and reflexivity as personal strengths that helped me navigate my ongoing training. Therefore, I integrate professional and ethical perspectives in the “meaning-making” of my development as a trainee counseling psychologist.","container-title":"Journal of Humanistic Psychology","DOI":"10.1177/00221678231154292","ISSN":"0022-1678","language":"EN","page":"00221678231154292","publisher":"SAGE Publications Inc","source":"SAGE Journals","title":"Self-formulation in counselling psychology: The Power Threat Meaning Framework","title-short":"Self-formulation in counselling psychology","author":[{"family":"Amari","given":"Nicola"}],"issued":{"date-parts":[["2023",2,20]]}}}],"schema":"https://github.com/citation-style-language/schema/raw/master/csl-citation.json"} </w:instrText>
      </w:r>
      <w:r w:rsidR="00582634" w:rsidRPr="00715F36">
        <w:fldChar w:fldCharType="separate"/>
      </w:r>
      <w:r w:rsidR="00582634" w:rsidRPr="00715F36">
        <w:t>Amari (2023)</w:t>
      </w:r>
      <w:r w:rsidR="00582634" w:rsidRPr="00715F36">
        <w:fldChar w:fldCharType="end"/>
      </w:r>
      <w:r w:rsidR="00582634" w:rsidRPr="00715F36">
        <w:t xml:space="preserve"> </w:t>
      </w:r>
      <w:r w:rsidRPr="00715F36">
        <w:t xml:space="preserve">uses the Power Threat Meaning Framework to describe how this type of power is used epistemically- the therapist has the power to influence how the client should interpret and categorize the experiences and document them. Professional power, when used ethically, provides a containing framework within which clients are encouraged to address distress safely. The knowledge gained by the counselor enables them to identify clinical patterns, retain the therapeutic frame, and offer evidence-based interventions at the right time. The literature consistently shows that clients who perceive their therapist as competent, organized, and reliable report higher levels of therapeutic alliances and improved outcomes (Tschuschke et al., 2022). This implies that violence of professional power does not weaken the therapeutic relationship but, as a matter of fact, strengthens it when exercised openly and through cultural sensitivity. But mindless application of professional power is not without serious dangers. Chu and Cheung (2025) established that when counselors fail to adjust their cultural lens, clients of marginalized groups are especially susceptible to feeling therapist power as invalid. In these situations, the professional presentation of these experiences by the therapist can reflect some wider social hierarchies in the therapeutic </w:t>
      </w:r>
      <w:r w:rsidRPr="00715F36">
        <w:lastRenderedPageBreak/>
        <w:t>dyad, conveying the message that the therapist has a truer understanding of reality than the client's lived experience. According to Trif et al. (2022), power imbalances in professional helping relationships have a propensity to become self-perpetuating once they remain untested, as clients who feel disempowered are less likely to challenge the therapist's formulations. Ethical professional power is the one that requires continuous self-monitoring, cultural humility, and openness to revise the clinical interpretations depending on client feedback.</w:t>
      </w:r>
    </w:p>
    <w:p w14:paraId="50917847" w14:textId="060359E2" w:rsidR="00CB2165" w:rsidRPr="00715F36" w:rsidRDefault="005D31BA" w:rsidP="00715F36">
      <w:pPr>
        <w:spacing w:line="480" w:lineRule="auto"/>
        <w:contextualSpacing/>
        <w:jc w:val="both"/>
      </w:pPr>
      <w:r w:rsidRPr="00715F36">
        <w:rPr>
          <w:b/>
          <w:bCs/>
        </w:rPr>
        <w:t>Empath</w:t>
      </w:r>
      <w:r w:rsidR="00582634" w:rsidRPr="00715F36">
        <w:rPr>
          <w:b/>
          <w:bCs/>
        </w:rPr>
        <w:t>y</w:t>
      </w:r>
    </w:p>
    <w:p w14:paraId="61A0E292" w14:textId="4E913BC6" w:rsidR="00582634" w:rsidRDefault="007F47F1" w:rsidP="00940709">
      <w:pPr>
        <w:spacing w:line="480" w:lineRule="auto"/>
        <w:ind w:firstLine="720"/>
        <w:contextualSpacing/>
      </w:pPr>
      <w:r w:rsidRPr="007F47F1">
        <w:t xml:space="preserve">Empathy plays the role of the therapeutic interface, experiential interface, i.e., transformation of professional learning into relational awareness. Where professional power gives form, empathy gives human resonance, so that the clients can feel that they are not only assessed but felt to be </w:t>
      </w:r>
      <w:proofErr w:type="gramStart"/>
      <w:r w:rsidRPr="007F47F1">
        <w:t>actually understood</w:t>
      </w:r>
      <w:proofErr w:type="gramEnd"/>
      <w:r w:rsidRPr="007F47F1">
        <w:t xml:space="preserve">. Rogers et al. (2025) point out that empathy is not merely a counselor technique but a long-term orientation to the subjective reality of the client, an attempt to be in his world to be precise and not </w:t>
      </w:r>
      <w:proofErr w:type="gramStart"/>
      <w:r w:rsidRPr="007F47F1">
        <w:t>judgmental, but</w:t>
      </w:r>
      <w:proofErr w:type="gramEnd"/>
      <w:r w:rsidRPr="007F47F1">
        <w:t xml:space="preserve"> maintain the professional level of the counselor. This twin doublet of becoming a part of another world, avoiding self-lost, is what makes it singularly therapeutic to sympathy or emotional fusion. Empathy is defined as a dynamic process that is co-created rather than an attribute of a counselor, which scholars have explained in the recent past. Among various clinical groups, Zhang et al. (2022) demonstrate that empathic communication and culturally humble communication </w:t>
      </w:r>
      <w:proofErr w:type="gramStart"/>
      <w:r w:rsidRPr="007F47F1">
        <w:t>in particular are</w:t>
      </w:r>
      <w:proofErr w:type="gramEnd"/>
      <w:r w:rsidRPr="007F47F1">
        <w:t xml:space="preserve"> among the most powerful predictors of positive therapeutic outcomes. Compassionate clients will find it easier to engage in the session independently, as well as engage in social risks during the session, and remain dedicated to the therapeutic process even when it gets uncomfortable. This finding points to empathy not being a passive receptivity, but rather an act of a dynamic relationship. Counselors are supposed to be curious, alert, and willing to make amends in case of a deficient </w:t>
      </w:r>
      <w:r w:rsidRPr="007F47F1">
        <w:lastRenderedPageBreak/>
        <w:t>interpretation</w:t>
      </w:r>
      <w:r w:rsidR="00582634" w:rsidRPr="00715F36">
        <w:t>. On the other hand, the power distance is less obtrusive in a situation in which empathy is tactfully drawn into the process of professional authority, that is, when the counselor identifies clinical patterns and at the same time conveys a sense of obvious concern as to how these patterns feel to the client. According to Rahmani and Khaira (2024), countertransference reactions may hinder the empathic attunement, especially when counselors come across clients whose experiences arouse unresolved personal contents. This renders empathy an ability that should be actively upheld in the form of supervision and self-reflection, as well as continuous personal growth, instead of presupposing it as a fixed attribute.</w:t>
      </w:r>
    </w:p>
    <w:p w14:paraId="7C74E33C" w14:textId="4A144445" w:rsidR="004E6223" w:rsidRPr="004E6223" w:rsidRDefault="004E6223" w:rsidP="004E6223">
      <w:pPr>
        <w:spacing w:line="480" w:lineRule="auto"/>
        <w:contextualSpacing/>
        <w:jc w:val="center"/>
        <w:rPr>
          <w:b/>
          <w:bCs/>
        </w:rPr>
      </w:pPr>
      <w:r w:rsidRPr="004E6223">
        <w:rPr>
          <w:b/>
          <w:bCs/>
        </w:rPr>
        <w:t>Empathy and Professional Power in Counseling Practice</w:t>
      </w:r>
    </w:p>
    <w:p w14:paraId="2C009CFD" w14:textId="77777777" w:rsidR="00582634" w:rsidRPr="00482509" w:rsidRDefault="00582634" w:rsidP="00940709">
      <w:pPr>
        <w:spacing w:line="480" w:lineRule="auto"/>
        <w:ind w:firstLine="720"/>
        <w:contextualSpacing/>
      </w:pPr>
      <w:r w:rsidRPr="00482509">
        <w:t>The interplay of professional power and empathy is clearly evident in the applied counseling practice. To illustrate a situation where an investment in counseling training takes place, imagine a case where Marcus, a trainee counselor, is treating Amara, an anxious client. In one of the sessions, Amara is closed off when she talks about her family. Marcus has professional power at this time, as he is the one leading the session (through his role, training, and authority). The way he exercises that power summarizes whether the interaction aids or cripples the therapeutic process. Instead of directing his professional influence by compelling her to disclose or misunderstanding her withdrawal, Marcus manages his professional authority by empathic engagement. He observes how Amara is changing emotionally and is responsive so as not to dictate but to give space. This represents a clear exercise of power not in the form of control but of structure that safeguards the autonomy of the client.</w:t>
      </w:r>
    </w:p>
    <w:p w14:paraId="2E9356B9" w14:textId="69803C40" w:rsidR="00582634" w:rsidRPr="00482509" w:rsidRDefault="00582634" w:rsidP="00940709">
      <w:pPr>
        <w:spacing w:line="480" w:lineRule="auto"/>
        <w:ind w:firstLine="720"/>
        <w:contextualSpacing/>
      </w:pPr>
      <w:r w:rsidRPr="00482509">
        <w:t xml:space="preserve">Here, empathy acts as a balancing mechanism. Marcus, by listening to the emotional clues of Amara and reacting out of curiosity but not presumption, conveys the message to her that her inner life is more important than his professional interpretations. This changes the </w:t>
      </w:r>
      <w:r w:rsidRPr="00482509">
        <w:lastRenderedPageBreak/>
        <w:t xml:space="preserve">relationship to an interactive model where professional authority exists but is not so overpowering. In that way, Marcus upholds the framework that is required to achieve therapeutic progress without causing Amara to be merely a passive participant in the process. His power is realized by making things safe and setting the session at the right pace, not by telling </w:t>
      </w:r>
      <w:r w:rsidRPr="00715F36">
        <w:t xml:space="preserve">them </w:t>
      </w:r>
      <w:r w:rsidRPr="00482509">
        <w:t xml:space="preserve">what to do. This will lead to enhanced trust, and Amara is likely to resume engagement at her own scale. This case shows that ethical counseling is not </w:t>
      </w:r>
      <w:r w:rsidRPr="00715F36">
        <w:t>a</w:t>
      </w:r>
      <w:r w:rsidRPr="00482509">
        <w:t xml:space="preserve"> lack of power but a deliberate control over it. Professional power, when influenced by empathy, becomes an empowering tool, as opposed to an influencing one. The counselor </w:t>
      </w:r>
      <w:r w:rsidRPr="00715F36">
        <w:t>oversees</w:t>
      </w:r>
      <w:r w:rsidRPr="00482509">
        <w:t xml:space="preserve"> the process, and the client is the owner of his/her experience, and the therapeutic relationship runs as a true growth field.</w:t>
      </w:r>
    </w:p>
    <w:p w14:paraId="6572D59D" w14:textId="77777777" w:rsidR="00582634" w:rsidRPr="00715F36" w:rsidRDefault="00582634" w:rsidP="00715F36">
      <w:pPr>
        <w:spacing w:line="480" w:lineRule="auto"/>
        <w:contextualSpacing/>
        <w:jc w:val="center"/>
      </w:pPr>
      <w:r w:rsidRPr="00482509">
        <w:rPr>
          <w:b/>
        </w:rPr>
        <w:t>Ethical and Cultural Considerations</w:t>
      </w:r>
    </w:p>
    <w:p w14:paraId="0179E325" w14:textId="18A2597D" w:rsidR="00582634" w:rsidRPr="00715F36" w:rsidRDefault="00582634" w:rsidP="00940709">
      <w:pPr>
        <w:spacing w:line="480" w:lineRule="auto"/>
        <w:ind w:firstLine="720"/>
        <w:contextualSpacing/>
      </w:pPr>
      <w:r w:rsidRPr="00482509">
        <w:t xml:space="preserve">Ethical management of power in counseling is not an accident, but it is a foundation. </w:t>
      </w:r>
      <w:r w:rsidRPr="00715F36">
        <w:t xml:space="preserve">American Counseling </w:t>
      </w:r>
      <w:r w:rsidRPr="00715F36">
        <w:fldChar w:fldCharType="begin"/>
      </w:r>
      <w:r w:rsidRPr="00715F36">
        <w:instrText xml:space="preserve"> ADDIN ZOTERO_ITEM CSL_CITATION {"citationID":"5z7R2BNd","properties":{"formattedCitation":"(Association, 2014)","plainCitation":"(Association, 2014)","noteIndex":0},"citationItems":[{"id":19233,"uris":["http://zotero.org/users/local/0lIgp9yg/items/5ZT7BBMK"],"itemData":{"id":19233,"type":"book","publisher":"American Counseling Association","source":"Google Scholar","title":"2014 ACA code of ethics: As approved by the ACA governing council","title-short":"2014 ACA code of ethics","author":[{"family":"Association","given":"American Counseling"}],"issued":{"date-parts":[["2014"]]}}}],"schema":"https://github.com/citation-style-language/schema/raw/master/csl-citation.json"} </w:instrText>
      </w:r>
      <w:r w:rsidRPr="00715F36">
        <w:fldChar w:fldCharType="separate"/>
      </w:r>
      <w:r w:rsidRPr="00715F36">
        <w:t xml:space="preserve">Association </w:t>
      </w:r>
      <w:r w:rsidR="004E6223">
        <w:t>(</w:t>
      </w:r>
      <w:r w:rsidRPr="00715F36">
        <w:t>2014</w:t>
      </w:r>
      <w:r w:rsidRPr="00715F36">
        <w:fldChar w:fldCharType="end"/>
      </w:r>
      <w:r w:rsidR="004E6223">
        <w:t>)</w:t>
      </w:r>
      <w:r w:rsidRPr="00482509">
        <w:t xml:space="preserve"> explains six fundamental principles that regulate the behavior of counselors: autonomy, nonmaleficence, beneficence, justice, fidelity, and veracity. All these principles are directly involved in the application of power in the therapeutic relationship. Autonomy is an invitation to counselors to assist clients in making their own decisions as opposed to dictating. Nonmaleficence does not allow harm, even the harm of cultural invalidation or paternalism. Beneficence means that counselors must be proactive in promoting the welfare of their clients, and it necessitates that they understand the dynamics of power. Justice requires fair treatment irrespective of the social identity of a client. The modern studies have stressed that power acts in the context of larger social and relational situations and that counselors need to be proactive in identifying the inequities present in the system and how they affect the therapeutic relationship </w:t>
      </w:r>
      <w:r w:rsidRPr="00715F36">
        <w:fldChar w:fldCharType="begin"/>
      </w:r>
      <w:r w:rsidRPr="00715F36">
        <w:instrText xml:space="preserve"> ADDIN ZOTERO_ITEM CSL_CITATION {"citationID":"0xEW4lPd","properties":{"formattedCitation":"(Amari, 2026)","plainCitation":"(Amari, 2026)","noteIndex":0},"citationItems":[{"id":"cpqHy5au/kSinFmpp","uris":["http://zotero.org/users/local/0lIgp9yg/items/NHSNNIWW"],"itemData":{"id":18590,"type":"article-journal","abstract":"This article articulates how compassion can be integrated into counseling psychology practice to augment the commitment to social justice. Drawing on a humanistic–existential paradigm that asserts the primacy of ethics, a multilayered understanding of compassion is explored in its implication for practitioners. First, as acknowledgment of the other’s suffering, compassion means being aware of the relational dynamics that extends from the therapist–client dyad to include the wider communities to which they belong. Second, as appreciation for suffering as an existential given, compassion expresses connectedness through the shared experience of otherness while revealing the inherent potential toward growth in clients. Third, as access to the suffering other, compassion exposes the societal power dynamics that threaten the therapeutic relationship. Fourth, as acceptance of the response to the suffering other, compassion requires to embrace the intrapersonal and interpersonal experience evoked in meeting clients. Fifth, as alleviation of the other’s suffering, compassion becomes the expression of a value-based practice that can drive the shift that sees psychotherapy as an interpersonal process based on connectedness to foster healing. Therefore, compassion is put forward as the foundation of counseling psychology ethics of social justice.","container-title":"Journal of Humanistic Psychology","DOI":"10.1177/00221678211039968","ISSN":"0022-1678","issue":"1","language":"EN","page":"162-176","publisher":"SAGE Publications Inc","source":"SAGE Journals","title":"Social justice in counseling psychology practice: Actualizing the ethics of compassion","title-short":"Social justice in counseling psychology practice","volume":"66","author":[{"family":"Amari","given":"Nicola"}],"issued":{"date-parts":[["2026",1,1]]}}}],"schema":"https://github.com/citation-style-language/schema/raw/master/csl-citation.json"} </w:instrText>
      </w:r>
      <w:r w:rsidRPr="00715F36">
        <w:fldChar w:fldCharType="separate"/>
      </w:r>
      <w:r w:rsidRPr="00715F36">
        <w:t>(Amari, 2026)</w:t>
      </w:r>
      <w:r w:rsidRPr="00715F36">
        <w:fldChar w:fldCharType="end"/>
      </w:r>
      <w:r w:rsidRPr="00482509">
        <w:t xml:space="preserve">. Research points out that ethical values like autonomy and beneficence may be at odds, especially when a counselor may be prone to </w:t>
      </w:r>
      <w:r w:rsidRPr="00482509">
        <w:lastRenderedPageBreak/>
        <w:t xml:space="preserve">paternalism by passing his own judgment instead of facilitating the self-determination of a client </w:t>
      </w:r>
      <w:r w:rsidRPr="00715F36">
        <w:fldChar w:fldCharType="begin"/>
      </w:r>
      <w:r w:rsidRPr="00715F36">
        <w:instrText xml:space="preserve"> ADDIN ZOTERO_ITEM CSL_CITATION {"citationID":"IwppbAsf","properties":{"formattedCitation":"(Rogers et al., 2025)","plainCitation":"(Rogers et al., 2025)","noteIndex":0},"citationItems":[{"id":"cpqHy5au/WDV1PkSu","uris":["http://zotero.org/users/local/0lIgp9yg/items/QFSDIUAP"],"itemData":{"id":18592,"type":"article-journal","container-title":"Psychological Injury and Law","DOI":"10.1007/s12207-025-09539-6","ISSN":"1938-971X, 1938-9728","issue":"3","journalAbbreviation":"Psychol. Inj. and Law","language":"en","page":"185-198","source":"DOI.org (Crossref)","title":"Ethically Problematic Practices on Potential Traumas and Betrayals: Perspectives of Therapy Clients","title-short":"Ethically Problematic Practices on Potential Traumas and Betrayals","volume":"18","author":[{"family":"Rogers","given":"Richard"},{"family":"Chang","given":"Yi-Ting"},{"family":"Drogin","given":"Eric Y"},{"family":"Tazi","given":"Kamar Y"},{"family":"Williamson-Butler","given":"Shannon R"}],"issued":{"date-parts":[["2025",9]]}}}],"schema":"https://github.com/citation-style-language/schema/raw/master/csl-citation.json"} </w:instrText>
      </w:r>
      <w:r w:rsidRPr="00715F36">
        <w:fldChar w:fldCharType="separate"/>
      </w:r>
      <w:r w:rsidRPr="00715F36">
        <w:t>(Rogers et al., 2025)</w:t>
      </w:r>
      <w:r w:rsidRPr="00715F36">
        <w:fldChar w:fldCharType="end"/>
      </w:r>
      <w:r w:rsidRPr="00715F36">
        <w:t>.</w:t>
      </w:r>
      <w:r w:rsidRPr="00482509">
        <w:t xml:space="preserve"> Indicatively, studies on countertransference indicate that uninterrupted emotional responses and prejudices may undermine professionalism, cultural sensitivity, and ethical decision-making processes </w:t>
      </w:r>
      <w:r w:rsidRPr="00715F36">
        <w:fldChar w:fldCharType="begin"/>
      </w:r>
      <w:r w:rsidRPr="00715F36">
        <w:instrText xml:space="preserve"> ADDIN ZOTERO_ITEM CSL_CITATION {"citationID":"UjjYrU3l","properties":{"formattedCitation":"(Rahmani &amp; Khaira, 2024)","plainCitation":"(Rahmani &amp; Khaira, 2024)","noteIndex":0},"citationItems":[{"id":"cpqHy5au/ESRaTL81","uris":["http://zotero.org/users/local/0lIgp9yg/items/54N85EML"],"itemData":{"id":18593,"type":"article-journal","container-title":"Psikoeduko: Jurnal Psikologi Edukasi dan Konseling","issue":"1","page":"74–86","source":"Google Scholar","title":"COUNTERTRANSFERENCE: EXPLORING ETHICAL ISSUES AND THEIR IMPACT ON COUNSELING PRACTICE","title-short":"COUNTERTRANSFERENCE","volume":"4","author":[{"family":"Rahmani","given":"Sabrina Tiara Putri"},{"family":"Khaira","given":"Mutia"}],"issued":{"date-parts":[["2024"]]}}}],"schema":"https://github.com/citation-style-language/schema/raw/master/csl-citation.json"} </w:instrText>
      </w:r>
      <w:r w:rsidRPr="00715F36">
        <w:fldChar w:fldCharType="separate"/>
      </w:r>
      <w:r w:rsidRPr="00715F36">
        <w:t>(Rahmani &amp; Khaira, 2024)</w:t>
      </w:r>
      <w:r w:rsidRPr="00715F36">
        <w:fldChar w:fldCharType="end"/>
      </w:r>
      <w:r w:rsidRPr="00482509">
        <w:t xml:space="preserve">. Moreover, scholarships of relational ethics claim that traditional models of ethics based on principles should be augmented with consideration of context, culture, and dynamics of power in relationships </w:t>
      </w:r>
      <w:r w:rsidRPr="00715F36">
        <w:fldChar w:fldCharType="begin"/>
      </w:r>
      <w:r w:rsidRPr="00715F36">
        <w:instrText xml:space="preserve"> ADDIN ZOTERO_ITEM CSL_CITATION {"citationID":"dsnvLOjC","properties":{"formattedCitation":"(Smedley et al., 2026)","plainCitation":"(Smedley et al., 2026)","noteIndex":0},"citationItems":[{"id":"cpqHy5au/gmaV4mWf","uris":["http://zotero.org/users/local/0lIgp9yg/items/9B5WKWFU"],"itemData":{"id":18594,"type":"article-journal","abstract":"Ethical considerations become nuanced and more complex within family counseling. Family counselors must approach issues such as dual relationships, confidentiality, and the distinct needs of each system member with heightened relational sensitivity and contextual awareness. Because current ethical frameworks are rooted in Westernized understanding, guidance for family counselors might not fully encompass the lived experiences or moral reasoning of diverse families. This conceptual article explores the integration of relational ethics into ethical decision-making for family counselors. Relational ethics addresses gaps within conventional justice-centered approaches by emphasizing the importance of mutual understanding, authenticity, and responsiveness in the context of the counseling relationship. It recognizes the effects of power, privilege, and systemic dynamics on these interactions. To further highlight the applicability and practical implications, the authors provide a case study that demonstrates how mutuality and ethical relational authenticity foster growth-fostering relationships and systemic healing within families.","container-title":"The Family Journal","DOI":"10.1177/10664807251374907","ISSN":"1066-4807","issue":"1","language":"EN","page":"154-162","publisher":"SAGE Publications Inc","source":"SAGE Journals","title":"Toward Mutuality: Relational Ethics for Family Counselors","title-short":"Toward Mutuality","volume":"34","author":[{"family":"Smedley","given":"Diane"},{"family":"Hurt","given":"Kara"},{"family":"Spears","given":"Ross"},{"family":"Stokes","given":"Ashlyn"}],"issued":{"date-parts":[["2026",1,1]]}}}],"schema":"https://github.com/citation-style-language/schema/raw/master/csl-citation.json"} </w:instrText>
      </w:r>
      <w:r w:rsidRPr="00715F36">
        <w:fldChar w:fldCharType="separate"/>
      </w:r>
      <w:r w:rsidRPr="00715F36">
        <w:t>(Smedley et al., 2026)</w:t>
      </w:r>
      <w:r w:rsidRPr="00715F36">
        <w:fldChar w:fldCharType="end"/>
      </w:r>
      <w:r w:rsidRPr="00482509">
        <w:t>. In general, the ethical counseling practice is presently found in the existing literature as a continuous, reflective approach that incorporates power awareness, cultural humility, and relational accountability.</w:t>
      </w:r>
    </w:p>
    <w:p w14:paraId="3C0BC6A0" w14:textId="77777777" w:rsidR="00582634" w:rsidRPr="00715F36" w:rsidRDefault="00582634" w:rsidP="00715F36">
      <w:pPr>
        <w:spacing w:line="480" w:lineRule="auto"/>
        <w:contextualSpacing/>
        <w:jc w:val="center"/>
      </w:pPr>
      <w:r w:rsidRPr="00482509">
        <w:rPr>
          <w:b/>
        </w:rPr>
        <w:t>Reflection: Developing as a Counselor</w:t>
      </w:r>
    </w:p>
    <w:p w14:paraId="2ACFCD35" w14:textId="03F27DB0" w:rsidR="00582634" w:rsidRPr="00482509" w:rsidRDefault="00582634" w:rsidP="00940709">
      <w:pPr>
        <w:spacing w:line="480" w:lineRule="auto"/>
        <w:ind w:firstLine="720"/>
        <w:contextualSpacing/>
      </w:pPr>
      <w:r w:rsidRPr="00482509">
        <w:t>The most difficult therapeutic skill I expect to develop is that of engaging in real empathy, not as a theoretical concept but as a continuous, effortful process. In practice, this may be a challenge during actual counseling sessions, where answers may be required on the spot, and one may find themselves interpreting the experience of their clients using their own perceptions and presumptions without consciously being aware of it. At times, taking a moment to process and be empathetic might be counterintuitive, particularly when one is under stress to offer guidance or solutions. Nevertheless, I also understand that deeply therapeutic relationships are established on the premises of the client being heard, understood, and affirmed. This level of empathy needs to be developed through conscious effort and constant self-awareness.</w:t>
      </w:r>
    </w:p>
    <w:p w14:paraId="278416A4" w14:textId="37CE4F59" w:rsidR="00CB2165" w:rsidRPr="00482509" w:rsidRDefault="00582634" w:rsidP="00940709">
      <w:pPr>
        <w:spacing w:line="480" w:lineRule="auto"/>
        <w:ind w:firstLine="720"/>
        <w:contextualSpacing/>
      </w:pPr>
      <w:r w:rsidRPr="00482509">
        <w:t xml:space="preserve">To enhance this skill, I intend to practice reflective journaling so that I can learn how my life experiences, feelings, and prejudices affect my reactions with clients. The practice will guide me to know when I can drift out of focus and not even be focusing on the client. I will also respond proactively to supervision that stimulates open talks on emotional sensitivity, </w:t>
      </w:r>
      <w:r w:rsidRPr="00482509">
        <w:lastRenderedPageBreak/>
        <w:t>interpersonal dynamics, and developmental areas. Positive feedback will play a crucial role in ensuring that I improve on my empathetic responses. Additionally, I hope to expand my experiences of different human experiences with reading, training, and the experience of the real world. In this way, I will be able to expand my ability to relate to clients who have diverse backgrounds and life circumstances. In the long term, I would like to develop empathy as a regular and natural aspect of my working practice in counseling, which would also build trust and treatment efficiency.</w:t>
      </w:r>
    </w:p>
    <w:p w14:paraId="11654B6D" w14:textId="77777777" w:rsidR="00CB2165" w:rsidRPr="00715F36" w:rsidRDefault="00CB2165" w:rsidP="00715F36">
      <w:pPr>
        <w:spacing w:line="480" w:lineRule="auto"/>
        <w:contextualSpacing/>
      </w:pPr>
    </w:p>
    <w:p w14:paraId="22BB994E" w14:textId="77777777" w:rsidR="00582634" w:rsidRPr="00482509" w:rsidRDefault="00582634" w:rsidP="00482509">
      <w:pPr>
        <w:spacing w:line="480" w:lineRule="auto"/>
        <w:contextualSpacing/>
        <w:rPr>
          <w:b/>
        </w:rPr>
      </w:pPr>
      <w:r w:rsidRPr="00482509">
        <w:rPr>
          <w:b/>
        </w:rPr>
        <w:br w:type="page"/>
      </w:r>
    </w:p>
    <w:p w14:paraId="2B264393" w14:textId="11F4FBD0" w:rsidR="00CB2165" w:rsidRPr="00715F36" w:rsidRDefault="005D31BA" w:rsidP="00715F36">
      <w:pPr>
        <w:spacing w:line="480" w:lineRule="auto"/>
        <w:contextualSpacing/>
        <w:jc w:val="center"/>
      </w:pPr>
      <w:r w:rsidRPr="00482509">
        <w:rPr>
          <w:b/>
        </w:rPr>
        <w:lastRenderedPageBreak/>
        <w:t>References</w:t>
      </w:r>
    </w:p>
    <w:p w14:paraId="1FF0CF39" w14:textId="5F8C270D" w:rsidR="001E1FAB" w:rsidRDefault="00715F36" w:rsidP="00940709">
      <w:pPr>
        <w:pStyle w:val="Bibliography"/>
        <w:spacing w:line="480" w:lineRule="auto"/>
        <w:ind w:left="720" w:hanging="720"/>
        <w:contextualSpacing/>
      </w:pPr>
      <w:r w:rsidRPr="00482509">
        <w:fldChar w:fldCharType="begin"/>
      </w:r>
      <w:r w:rsidRPr="00715F36">
        <w:instrText xml:space="preserve"> ADDIN ZOTERO_BIBL {"uncited":[],"omitted":[],"custom":[]} CSL_BIBLIOGRAPHY </w:instrText>
      </w:r>
      <w:r w:rsidRPr="00482509">
        <w:fldChar w:fldCharType="separate"/>
      </w:r>
      <w:r w:rsidRPr="00715F36">
        <w:t xml:space="preserve">Association, A. C. (2014). </w:t>
      </w:r>
      <w:r w:rsidRPr="00715F36">
        <w:rPr>
          <w:i/>
          <w:iCs/>
        </w:rPr>
        <w:t>2014 ACA code of ethics: As approved by the ACA governing council</w:t>
      </w:r>
      <w:r w:rsidRPr="00715F36">
        <w:t>. American Counseling Association.</w:t>
      </w:r>
      <w:r w:rsidRPr="00482509">
        <w:fldChar w:fldCharType="end"/>
      </w:r>
    </w:p>
    <w:p w14:paraId="3EF7933C" w14:textId="3B15BB97" w:rsidR="00CB2165" w:rsidRPr="00715F36" w:rsidRDefault="005D31BA" w:rsidP="00940709">
      <w:pPr>
        <w:spacing w:line="480" w:lineRule="auto"/>
        <w:ind w:left="720" w:hanging="720"/>
        <w:contextualSpacing/>
      </w:pPr>
      <w:r w:rsidRPr="00715F36">
        <w:t xml:space="preserve">Amari, N. (2023). Self-formulation in counselling psychology: The Power Threat Meaning Framework. </w:t>
      </w:r>
      <w:r w:rsidRPr="00715F36">
        <w:rPr>
          <w:i/>
          <w:iCs/>
        </w:rPr>
        <w:t>Journal of Humanistic Psychology</w:t>
      </w:r>
      <w:r w:rsidRPr="00715F36">
        <w:t xml:space="preserve">, </w:t>
      </w:r>
      <w:r w:rsidRPr="00715F36">
        <w:rPr>
          <w:i/>
          <w:iCs/>
        </w:rPr>
        <w:t>63</w:t>
      </w:r>
      <w:r w:rsidRPr="00715F36">
        <w:t>(6), 00221678231154292.</w:t>
      </w:r>
      <w:r w:rsidR="00940709">
        <w:t xml:space="preserve"> </w:t>
      </w:r>
      <w:r w:rsidRPr="00715F36">
        <w:t>https://doi.org/10.1177/00221678231154292</w:t>
      </w:r>
    </w:p>
    <w:p w14:paraId="3AD835F2" w14:textId="77777777" w:rsidR="00CB2165" w:rsidRPr="00715F36" w:rsidRDefault="005D31BA" w:rsidP="00940709">
      <w:pPr>
        <w:spacing w:line="480" w:lineRule="auto"/>
        <w:ind w:left="720" w:hanging="720"/>
        <w:contextualSpacing/>
      </w:pPr>
      <w:r w:rsidRPr="00715F36">
        <w:t xml:space="preserve">Amari, N. (2026). Social justice in counseling psychology practice: Actualizing the ethics of compassion. </w:t>
      </w:r>
      <w:r w:rsidRPr="00715F36">
        <w:rPr>
          <w:i/>
          <w:iCs/>
        </w:rPr>
        <w:t>Journal of Humanistic Psychology</w:t>
      </w:r>
      <w:r w:rsidRPr="00715F36">
        <w:t xml:space="preserve">, </w:t>
      </w:r>
      <w:r w:rsidRPr="00715F36">
        <w:rPr>
          <w:i/>
          <w:iCs/>
        </w:rPr>
        <w:t>66</w:t>
      </w:r>
      <w:r w:rsidRPr="00715F36">
        <w:t>(1), 162–176. https://doi.org/10.1177/00221678211039968</w:t>
      </w:r>
    </w:p>
    <w:p w14:paraId="139A53E4" w14:textId="77777777" w:rsidR="00CB2165" w:rsidRPr="00715F36" w:rsidRDefault="005D31BA" w:rsidP="00940709">
      <w:pPr>
        <w:spacing w:line="480" w:lineRule="auto"/>
        <w:ind w:left="720" w:hanging="720"/>
        <w:contextualSpacing/>
      </w:pPr>
      <w:r w:rsidRPr="00715F36">
        <w:t xml:space="preserve">Chu, W., &amp; Cheung, W. (2025). A scoping review of client-reported therapist cultural competence measures. </w:t>
      </w:r>
      <w:r w:rsidRPr="00715F36">
        <w:rPr>
          <w:i/>
          <w:iCs/>
        </w:rPr>
        <w:t>Clinical Social Work Journal</w:t>
      </w:r>
      <w:r w:rsidRPr="00715F36">
        <w:t>. https://doi.org/10.1007/s10615-025-01017-5</w:t>
      </w:r>
    </w:p>
    <w:p w14:paraId="2291168A" w14:textId="77777777" w:rsidR="00CB2165" w:rsidRPr="00715F36" w:rsidRDefault="005D31BA" w:rsidP="00940709">
      <w:pPr>
        <w:spacing w:line="480" w:lineRule="auto"/>
        <w:ind w:left="720" w:hanging="720"/>
        <w:contextualSpacing/>
      </w:pPr>
      <w:r w:rsidRPr="00715F36">
        <w:t xml:space="preserve">Cirasola, A., Fonagy, P., &amp; Midgley, N. (2024). Alliance rupture and repair in adolescent psychotherapy: What clinicians can learn from research. </w:t>
      </w:r>
      <w:r w:rsidRPr="00715F36">
        <w:rPr>
          <w:i/>
          <w:iCs/>
        </w:rPr>
        <w:t>Psychotherapy</w:t>
      </w:r>
      <w:r w:rsidRPr="00715F36">
        <w:t>. https://psycnet.apa.org/record/2025-04139-001</w:t>
      </w:r>
    </w:p>
    <w:p w14:paraId="331A7544" w14:textId="77777777" w:rsidR="00CB2165" w:rsidRPr="00715F36" w:rsidRDefault="005D31BA" w:rsidP="00940709">
      <w:pPr>
        <w:spacing w:line="480" w:lineRule="auto"/>
        <w:ind w:left="720" w:hanging="720"/>
        <w:contextualSpacing/>
      </w:pPr>
      <w:r w:rsidRPr="00715F36">
        <w:t xml:space="preserve">Kottler, J., &amp; Shepard, D. (2014). </w:t>
      </w:r>
      <w:r w:rsidRPr="00715F36">
        <w:rPr>
          <w:i/>
          <w:iCs/>
        </w:rPr>
        <w:t>Introduction to counseling: Voices from the field</w:t>
      </w:r>
      <w:r w:rsidRPr="00715F36">
        <w:t>. Cengage Learning.</w:t>
      </w:r>
    </w:p>
    <w:p w14:paraId="19116FF9" w14:textId="77777777" w:rsidR="00CB2165" w:rsidRPr="00715F36" w:rsidRDefault="005D31BA" w:rsidP="00940709">
      <w:pPr>
        <w:spacing w:line="480" w:lineRule="auto"/>
        <w:ind w:left="720" w:hanging="720"/>
        <w:contextualSpacing/>
      </w:pPr>
      <w:r w:rsidRPr="00715F36">
        <w:t xml:space="preserve">Rahmani, S. T. P., &amp; Khaira, M. (2024). Countertransference: Exploring ethical issues and their impact on counseling practice. </w:t>
      </w:r>
      <w:r w:rsidRPr="00715F36">
        <w:rPr>
          <w:i/>
          <w:iCs/>
        </w:rPr>
        <w:t>Psikoeduko: Jurnal Psikologi Edukasi Dan Konseling</w:t>
      </w:r>
      <w:r w:rsidRPr="00715F36">
        <w:t xml:space="preserve">, </w:t>
      </w:r>
      <w:r w:rsidRPr="00715F36">
        <w:rPr>
          <w:i/>
          <w:iCs/>
        </w:rPr>
        <w:t>4</w:t>
      </w:r>
      <w:r w:rsidRPr="00715F36">
        <w:t>(1), 74–86.</w:t>
      </w:r>
    </w:p>
    <w:p w14:paraId="4D0154C2" w14:textId="77777777" w:rsidR="00CB2165" w:rsidRPr="00715F36" w:rsidRDefault="005D31BA" w:rsidP="00940709">
      <w:pPr>
        <w:spacing w:line="480" w:lineRule="auto"/>
        <w:ind w:left="720" w:hanging="720"/>
        <w:contextualSpacing/>
      </w:pPr>
      <w:r w:rsidRPr="00715F36">
        <w:t xml:space="preserve">Rogers, R., Chang, Y.-T., Drogin, E. Y., Tazi, K. Y., &amp; Williamson-Butler, S. R. (2025). Ethically problematic practices on potential traumas and betrayals: Perspectives of </w:t>
      </w:r>
      <w:r w:rsidRPr="00715F36">
        <w:lastRenderedPageBreak/>
        <w:t xml:space="preserve">therapy clients. </w:t>
      </w:r>
      <w:r w:rsidRPr="00715F36">
        <w:rPr>
          <w:i/>
          <w:iCs/>
        </w:rPr>
        <w:t>Psychological Injury and Law</w:t>
      </w:r>
      <w:r w:rsidRPr="00715F36">
        <w:t xml:space="preserve">, </w:t>
      </w:r>
      <w:r w:rsidRPr="00715F36">
        <w:rPr>
          <w:i/>
          <w:iCs/>
        </w:rPr>
        <w:t>18</w:t>
      </w:r>
      <w:r w:rsidRPr="00715F36">
        <w:t>(3), 185–198. https://doi.org/10.1007/s12207-025-09539-6</w:t>
      </w:r>
    </w:p>
    <w:p w14:paraId="471D843F" w14:textId="77777777" w:rsidR="00CB2165" w:rsidRPr="00715F36" w:rsidRDefault="005D31BA" w:rsidP="00940709">
      <w:pPr>
        <w:spacing w:line="480" w:lineRule="auto"/>
        <w:ind w:left="720" w:hanging="720"/>
        <w:contextualSpacing/>
      </w:pPr>
      <w:r w:rsidRPr="00715F36">
        <w:t xml:space="preserve">Saxler, E., Schindler, T., Philipsen, A., Schulze, M., &amp; Lux, S. (2024). Therapeutic alliance in individual adult psychotherapy: A systematic review of conceptualizations and measures for face-to-face and online psychotherapy. </w:t>
      </w:r>
      <w:r w:rsidRPr="00715F36">
        <w:rPr>
          <w:i/>
          <w:iCs/>
        </w:rPr>
        <w:t>Frontiers in Psychology</w:t>
      </w:r>
      <w:r w:rsidRPr="00715F36">
        <w:t xml:space="preserve">, </w:t>
      </w:r>
      <w:r w:rsidRPr="00715F36">
        <w:rPr>
          <w:i/>
          <w:iCs/>
        </w:rPr>
        <w:t>15</w:t>
      </w:r>
      <w:r w:rsidRPr="00715F36">
        <w:t>. https://doi.org/10.3389/fpsyg.2024.1293851</w:t>
      </w:r>
    </w:p>
    <w:p w14:paraId="526742B2" w14:textId="77777777" w:rsidR="00CB2165" w:rsidRPr="00715F36" w:rsidRDefault="005D31BA" w:rsidP="00940709">
      <w:pPr>
        <w:spacing w:line="480" w:lineRule="auto"/>
        <w:ind w:left="720" w:hanging="720"/>
        <w:contextualSpacing/>
      </w:pPr>
      <w:r w:rsidRPr="00715F36">
        <w:t xml:space="preserve">Smedley, D., Hurt, K., Spears, R., &amp; Stokes, A. (2026). Toward mutuality: Relational ethics for family counselors. </w:t>
      </w:r>
      <w:r w:rsidRPr="00715F36">
        <w:rPr>
          <w:i/>
          <w:iCs/>
        </w:rPr>
        <w:t>The Family Journal</w:t>
      </w:r>
      <w:r w:rsidRPr="00715F36">
        <w:t xml:space="preserve">, </w:t>
      </w:r>
      <w:r w:rsidRPr="00715F36">
        <w:rPr>
          <w:i/>
          <w:iCs/>
        </w:rPr>
        <w:t>34</w:t>
      </w:r>
      <w:r w:rsidRPr="00715F36">
        <w:t>(1), 154–162. https://doi.org/10.1177/10664807251374907</w:t>
      </w:r>
    </w:p>
    <w:p w14:paraId="5E769063" w14:textId="77777777" w:rsidR="00CB2165" w:rsidRPr="00715F36" w:rsidRDefault="005D31BA" w:rsidP="00940709">
      <w:pPr>
        <w:spacing w:line="480" w:lineRule="auto"/>
        <w:ind w:left="720" w:hanging="720"/>
        <w:contextualSpacing/>
      </w:pPr>
      <w:r w:rsidRPr="00715F36">
        <w:t xml:space="preserve">Trif, S. R., Curșeu, P. L., &amp; Fodor, O. C. (2022). Power differences and dynamics in multiparty collaborative systems: A systematic literature review. </w:t>
      </w:r>
      <w:r w:rsidRPr="00715F36">
        <w:rPr>
          <w:i/>
          <w:iCs/>
        </w:rPr>
        <w:t>Systems</w:t>
      </w:r>
      <w:r w:rsidRPr="00715F36">
        <w:t xml:space="preserve">, </w:t>
      </w:r>
      <w:r w:rsidRPr="00715F36">
        <w:rPr>
          <w:i/>
          <w:iCs/>
        </w:rPr>
        <w:t>10</w:t>
      </w:r>
      <w:r w:rsidRPr="00715F36">
        <w:t>(2). https://doi.org/10.3390/systems10020030</w:t>
      </w:r>
    </w:p>
    <w:p w14:paraId="058E0B1F" w14:textId="77777777" w:rsidR="00CB2165" w:rsidRPr="00715F36" w:rsidRDefault="005D31BA" w:rsidP="00940709">
      <w:pPr>
        <w:spacing w:line="480" w:lineRule="auto"/>
        <w:ind w:left="720" w:hanging="720"/>
        <w:contextualSpacing/>
      </w:pPr>
      <w:r w:rsidRPr="00715F36">
        <w:t xml:space="preserve">Tschuschke, V., Koemeda-Lutz, M., von Wyl, A., Crameri, A., &amp; Schulthess, P. (2022). The impact of clients' and therapists' characteristics on therapeutic alliance and outcome. </w:t>
      </w:r>
      <w:r w:rsidRPr="00715F36">
        <w:rPr>
          <w:i/>
          <w:iCs/>
        </w:rPr>
        <w:t>Journal of Contemporary Psychotherapy</w:t>
      </w:r>
      <w:r w:rsidRPr="00715F36">
        <w:t xml:space="preserve">, </w:t>
      </w:r>
      <w:r w:rsidRPr="00715F36">
        <w:rPr>
          <w:i/>
          <w:iCs/>
        </w:rPr>
        <w:t>52</w:t>
      </w:r>
      <w:r w:rsidRPr="00715F36">
        <w:t>(2), 145–154. https://doi.org/10.1007/s10879-021-09527-2</w:t>
      </w:r>
    </w:p>
    <w:p w14:paraId="354D5FFB" w14:textId="77777777" w:rsidR="00CB2165" w:rsidRPr="00715F36" w:rsidRDefault="005D31BA" w:rsidP="00940709">
      <w:pPr>
        <w:spacing w:line="480" w:lineRule="auto"/>
        <w:ind w:left="720" w:hanging="720"/>
        <w:contextualSpacing/>
      </w:pPr>
      <w:r w:rsidRPr="00715F36">
        <w:t xml:space="preserve">Zhang, H., Watkins, C. E., Hook, J. N., Hodge, A. S., Davis, C. W., Norton, J., Wilcox, M. M., Davis, D. E., DeBlaere, C., &amp; Owen, J. (2022). Cultural humility in psychotherapy and clinical supervision: A research review. </w:t>
      </w:r>
      <w:r w:rsidRPr="00715F36">
        <w:rPr>
          <w:i/>
          <w:iCs/>
        </w:rPr>
        <w:t>Counselling and Psychotherapy Research</w:t>
      </w:r>
      <w:r w:rsidRPr="00715F36">
        <w:t xml:space="preserve">, </w:t>
      </w:r>
      <w:r w:rsidRPr="00715F36">
        <w:rPr>
          <w:i/>
          <w:iCs/>
        </w:rPr>
        <w:t>22</w:t>
      </w:r>
      <w:r w:rsidRPr="00715F36">
        <w:t>(3), 548–557. https://doi.org/10.1002/capr.12481</w:t>
      </w:r>
    </w:p>
    <w:sectPr w:rsidR="00CB2165" w:rsidRPr="00715F36">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F62B" w14:textId="77777777" w:rsidR="00BE7236" w:rsidRDefault="00BE7236" w:rsidP="00482509">
      <w:r>
        <w:separator/>
      </w:r>
    </w:p>
  </w:endnote>
  <w:endnote w:type="continuationSeparator" w:id="0">
    <w:p w14:paraId="32671216" w14:textId="77777777" w:rsidR="00BE7236" w:rsidRDefault="00BE7236" w:rsidP="0048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7709" w14:textId="77777777" w:rsidR="00BE7236" w:rsidRDefault="00BE7236" w:rsidP="00482509">
      <w:r>
        <w:separator/>
      </w:r>
    </w:p>
  </w:footnote>
  <w:footnote w:type="continuationSeparator" w:id="0">
    <w:p w14:paraId="6C2D044D" w14:textId="77777777" w:rsidR="00BE7236" w:rsidRDefault="00BE7236" w:rsidP="0048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43933"/>
      <w:docPartObj>
        <w:docPartGallery w:val="Page Numbers (Top of Page)"/>
        <w:docPartUnique/>
      </w:docPartObj>
    </w:sdtPr>
    <w:sdtEndPr>
      <w:rPr>
        <w:noProof/>
      </w:rPr>
    </w:sdtEndPr>
    <w:sdtContent>
      <w:p w14:paraId="4C26FB8D" w14:textId="3D1DF9BF" w:rsidR="004D049E" w:rsidRDefault="004D04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AFD652" w14:textId="77777777" w:rsidR="00482509" w:rsidRDefault="00482509" w:rsidP="00482509">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776"/>
    <w:multiLevelType w:val="hybridMultilevel"/>
    <w:tmpl w:val="179E6A64"/>
    <w:lvl w:ilvl="0" w:tplc="DE14211E">
      <w:start w:val="1"/>
      <w:numFmt w:val="bullet"/>
      <w:lvlText w:val="●"/>
      <w:lvlJc w:val="left"/>
      <w:pPr>
        <w:ind w:left="720" w:hanging="360"/>
      </w:pPr>
    </w:lvl>
    <w:lvl w:ilvl="1" w:tplc="EC82CC26">
      <w:start w:val="1"/>
      <w:numFmt w:val="bullet"/>
      <w:lvlText w:val="○"/>
      <w:lvlJc w:val="left"/>
      <w:pPr>
        <w:ind w:left="1440" w:hanging="360"/>
      </w:pPr>
    </w:lvl>
    <w:lvl w:ilvl="2" w:tplc="50B0D486">
      <w:start w:val="1"/>
      <w:numFmt w:val="bullet"/>
      <w:lvlText w:val="■"/>
      <w:lvlJc w:val="left"/>
      <w:pPr>
        <w:ind w:left="2160" w:hanging="360"/>
      </w:pPr>
    </w:lvl>
    <w:lvl w:ilvl="3" w:tplc="C0B68924">
      <w:start w:val="1"/>
      <w:numFmt w:val="bullet"/>
      <w:lvlText w:val="●"/>
      <w:lvlJc w:val="left"/>
      <w:pPr>
        <w:ind w:left="2880" w:hanging="360"/>
      </w:pPr>
    </w:lvl>
    <w:lvl w:ilvl="4" w:tplc="CEDA1EBC">
      <w:start w:val="1"/>
      <w:numFmt w:val="bullet"/>
      <w:lvlText w:val="○"/>
      <w:lvlJc w:val="left"/>
      <w:pPr>
        <w:ind w:left="3600" w:hanging="360"/>
      </w:pPr>
    </w:lvl>
    <w:lvl w:ilvl="5" w:tplc="62329968">
      <w:start w:val="1"/>
      <w:numFmt w:val="bullet"/>
      <w:lvlText w:val="■"/>
      <w:lvlJc w:val="left"/>
      <w:pPr>
        <w:ind w:left="4320" w:hanging="360"/>
      </w:pPr>
    </w:lvl>
    <w:lvl w:ilvl="6" w:tplc="A8AEB12E">
      <w:start w:val="1"/>
      <w:numFmt w:val="bullet"/>
      <w:lvlText w:val="●"/>
      <w:lvlJc w:val="left"/>
      <w:pPr>
        <w:ind w:left="5040" w:hanging="360"/>
      </w:pPr>
    </w:lvl>
    <w:lvl w:ilvl="7" w:tplc="DF6CF6EA">
      <w:start w:val="1"/>
      <w:numFmt w:val="bullet"/>
      <w:lvlText w:val="●"/>
      <w:lvlJc w:val="left"/>
      <w:pPr>
        <w:ind w:left="5760" w:hanging="360"/>
      </w:pPr>
    </w:lvl>
    <w:lvl w:ilvl="8" w:tplc="FEA4874A">
      <w:start w:val="1"/>
      <w:numFmt w:val="bullet"/>
      <w:lvlText w:val="●"/>
      <w:lvlJc w:val="left"/>
      <w:pPr>
        <w:ind w:left="6480" w:hanging="360"/>
      </w:pPr>
    </w:lvl>
  </w:abstractNum>
  <w:abstractNum w:abstractNumId="1" w15:restartNumberingAfterBreak="0">
    <w:nsid w:val="12E21ADA"/>
    <w:multiLevelType w:val="hybridMultilevel"/>
    <w:tmpl w:val="8B70E8A6"/>
    <w:lvl w:ilvl="0" w:tplc="EE548C5C">
      <w:start w:val="1"/>
      <w:numFmt w:val="bullet"/>
      <w:lvlText w:val="●"/>
      <w:lvlJc w:val="left"/>
      <w:pPr>
        <w:ind w:left="720" w:hanging="360"/>
      </w:pPr>
    </w:lvl>
    <w:lvl w:ilvl="1" w:tplc="2B8E4E04">
      <w:start w:val="1"/>
      <w:numFmt w:val="bullet"/>
      <w:lvlText w:val="○"/>
      <w:lvlJc w:val="left"/>
      <w:pPr>
        <w:ind w:left="1440" w:hanging="360"/>
      </w:pPr>
    </w:lvl>
    <w:lvl w:ilvl="2" w:tplc="44CA5D92">
      <w:start w:val="1"/>
      <w:numFmt w:val="bullet"/>
      <w:lvlText w:val="■"/>
      <w:lvlJc w:val="left"/>
      <w:pPr>
        <w:ind w:left="2160" w:hanging="360"/>
      </w:pPr>
    </w:lvl>
    <w:lvl w:ilvl="3" w:tplc="1D4439F2">
      <w:start w:val="1"/>
      <w:numFmt w:val="bullet"/>
      <w:lvlText w:val="●"/>
      <w:lvlJc w:val="left"/>
      <w:pPr>
        <w:ind w:left="2880" w:hanging="360"/>
      </w:pPr>
    </w:lvl>
    <w:lvl w:ilvl="4" w:tplc="42C8569A">
      <w:start w:val="1"/>
      <w:numFmt w:val="bullet"/>
      <w:lvlText w:val="○"/>
      <w:lvlJc w:val="left"/>
      <w:pPr>
        <w:ind w:left="3600" w:hanging="360"/>
      </w:pPr>
    </w:lvl>
    <w:lvl w:ilvl="5" w:tplc="D99E2C84">
      <w:start w:val="1"/>
      <w:numFmt w:val="bullet"/>
      <w:lvlText w:val="■"/>
      <w:lvlJc w:val="left"/>
      <w:pPr>
        <w:ind w:left="4320" w:hanging="360"/>
      </w:pPr>
    </w:lvl>
    <w:lvl w:ilvl="6" w:tplc="3E0489A6">
      <w:start w:val="1"/>
      <w:numFmt w:val="bullet"/>
      <w:lvlText w:val="●"/>
      <w:lvlJc w:val="left"/>
      <w:pPr>
        <w:ind w:left="5040" w:hanging="360"/>
      </w:pPr>
    </w:lvl>
    <w:lvl w:ilvl="7" w:tplc="4F10AAEA">
      <w:start w:val="1"/>
      <w:numFmt w:val="bullet"/>
      <w:lvlText w:val="●"/>
      <w:lvlJc w:val="left"/>
      <w:pPr>
        <w:ind w:left="5760" w:hanging="360"/>
      </w:pPr>
    </w:lvl>
    <w:lvl w:ilvl="8" w:tplc="61FC903A">
      <w:start w:val="1"/>
      <w:numFmt w:val="bullet"/>
      <w:lvlText w:val="●"/>
      <w:lvlJc w:val="left"/>
      <w:pPr>
        <w:ind w:left="6480" w:hanging="360"/>
      </w:pPr>
    </w:lvl>
  </w:abstractNum>
  <w:abstractNum w:abstractNumId="2" w15:restartNumberingAfterBreak="0">
    <w:nsid w:val="52850E65"/>
    <w:multiLevelType w:val="hybridMultilevel"/>
    <w:tmpl w:val="DCC87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182406">
    <w:abstractNumId w:val="0"/>
    <w:lvlOverride w:ilvl="0">
      <w:startOverride w:val="1"/>
    </w:lvlOverride>
  </w:num>
  <w:num w:numId="2" w16cid:durableId="1491167225">
    <w:abstractNumId w:val="1"/>
    <w:lvlOverride w:ilvl="0">
      <w:startOverride w:val="1"/>
    </w:lvlOverride>
  </w:num>
  <w:num w:numId="3" w16cid:durableId="210082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MDY3trQwNTQ0tDRT0lEKTi0uzszPAykwrAUA+o8PZSwAAAA="/>
  </w:docVars>
  <w:rsids>
    <w:rsidRoot w:val="00CB2165"/>
    <w:rsid w:val="0001776D"/>
    <w:rsid w:val="000453D7"/>
    <w:rsid w:val="00072954"/>
    <w:rsid w:val="00077514"/>
    <w:rsid w:val="0008759D"/>
    <w:rsid w:val="0011391E"/>
    <w:rsid w:val="001170C1"/>
    <w:rsid w:val="001B7297"/>
    <w:rsid w:val="001E1FAB"/>
    <w:rsid w:val="00242E22"/>
    <w:rsid w:val="00292B50"/>
    <w:rsid w:val="002A6CC3"/>
    <w:rsid w:val="002F773F"/>
    <w:rsid w:val="00324E88"/>
    <w:rsid w:val="00325FAA"/>
    <w:rsid w:val="0035155C"/>
    <w:rsid w:val="003865CD"/>
    <w:rsid w:val="003B2411"/>
    <w:rsid w:val="00401197"/>
    <w:rsid w:val="004132F9"/>
    <w:rsid w:val="0043138F"/>
    <w:rsid w:val="0044447F"/>
    <w:rsid w:val="0047398E"/>
    <w:rsid w:val="00482509"/>
    <w:rsid w:val="004B2DE4"/>
    <w:rsid w:val="004D049E"/>
    <w:rsid w:val="004D0A6D"/>
    <w:rsid w:val="004E6223"/>
    <w:rsid w:val="004E6F6E"/>
    <w:rsid w:val="00582634"/>
    <w:rsid w:val="005B7389"/>
    <w:rsid w:val="005C156B"/>
    <w:rsid w:val="005D31BA"/>
    <w:rsid w:val="005D47DA"/>
    <w:rsid w:val="00653F82"/>
    <w:rsid w:val="00662C5C"/>
    <w:rsid w:val="00670189"/>
    <w:rsid w:val="006C017E"/>
    <w:rsid w:val="007157B9"/>
    <w:rsid w:val="00715F36"/>
    <w:rsid w:val="00753775"/>
    <w:rsid w:val="00795604"/>
    <w:rsid w:val="007B601D"/>
    <w:rsid w:val="007D7D52"/>
    <w:rsid w:val="007F47F1"/>
    <w:rsid w:val="00801A96"/>
    <w:rsid w:val="00812195"/>
    <w:rsid w:val="008613D5"/>
    <w:rsid w:val="0087237F"/>
    <w:rsid w:val="00874829"/>
    <w:rsid w:val="008A2361"/>
    <w:rsid w:val="008A62D3"/>
    <w:rsid w:val="008D4144"/>
    <w:rsid w:val="00904041"/>
    <w:rsid w:val="0093655D"/>
    <w:rsid w:val="00940709"/>
    <w:rsid w:val="00941EF9"/>
    <w:rsid w:val="00961ED8"/>
    <w:rsid w:val="00962A38"/>
    <w:rsid w:val="009A2442"/>
    <w:rsid w:val="009D1BF6"/>
    <w:rsid w:val="00A00B6D"/>
    <w:rsid w:val="00A11133"/>
    <w:rsid w:val="00A17B38"/>
    <w:rsid w:val="00A235EF"/>
    <w:rsid w:val="00A917C5"/>
    <w:rsid w:val="00AC19CB"/>
    <w:rsid w:val="00AD05DA"/>
    <w:rsid w:val="00AD7CAD"/>
    <w:rsid w:val="00AE6E8C"/>
    <w:rsid w:val="00B06E97"/>
    <w:rsid w:val="00B23C84"/>
    <w:rsid w:val="00B25367"/>
    <w:rsid w:val="00B737E1"/>
    <w:rsid w:val="00B84F64"/>
    <w:rsid w:val="00B86540"/>
    <w:rsid w:val="00B96A1A"/>
    <w:rsid w:val="00BB63EE"/>
    <w:rsid w:val="00BE7236"/>
    <w:rsid w:val="00BE7E9E"/>
    <w:rsid w:val="00C116BD"/>
    <w:rsid w:val="00C373EA"/>
    <w:rsid w:val="00C94F0A"/>
    <w:rsid w:val="00CB2165"/>
    <w:rsid w:val="00CD0B3F"/>
    <w:rsid w:val="00D16602"/>
    <w:rsid w:val="00D579DF"/>
    <w:rsid w:val="00D729DC"/>
    <w:rsid w:val="00D74470"/>
    <w:rsid w:val="00D75131"/>
    <w:rsid w:val="00D7562F"/>
    <w:rsid w:val="00DC1102"/>
    <w:rsid w:val="00DC3CB5"/>
    <w:rsid w:val="00DD16C6"/>
    <w:rsid w:val="00E074A9"/>
    <w:rsid w:val="00E323AB"/>
    <w:rsid w:val="00E36EE2"/>
    <w:rsid w:val="00E430C9"/>
    <w:rsid w:val="00E62028"/>
    <w:rsid w:val="00E86CB1"/>
    <w:rsid w:val="00EA5CDE"/>
    <w:rsid w:val="00EC4A73"/>
    <w:rsid w:val="00ED149B"/>
    <w:rsid w:val="00EE4358"/>
    <w:rsid w:val="00EF24EB"/>
    <w:rsid w:val="00F16323"/>
    <w:rsid w:val="00F22A08"/>
    <w:rsid w:val="00F53DD9"/>
    <w:rsid w:val="00F7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6576"/>
  <w15:docId w15:val="{F88A37B2-0B5E-4660-8719-D1824D55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rsid w:val="00482509"/>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sid w:val="00482509"/>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sid w:val="00482509"/>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582634"/>
    <w:rPr>
      <w:sz w:val="16"/>
      <w:szCs w:val="16"/>
    </w:rPr>
  </w:style>
  <w:style w:type="paragraph" w:styleId="CommentText">
    <w:name w:val="annotation text"/>
    <w:basedOn w:val="Normal"/>
    <w:link w:val="CommentTextChar"/>
    <w:uiPriority w:val="99"/>
    <w:unhideWhenUsed/>
    <w:rsid w:val="00482509"/>
    <w:rPr>
      <w:sz w:val="20"/>
      <w:szCs w:val="20"/>
    </w:rPr>
  </w:style>
  <w:style w:type="character" w:customStyle="1" w:styleId="CommentTextChar">
    <w:name w:val="Comment Text Char"/>
    <w:basedOn w:val="DefaultParagraphFont"/>
    <w:link w:val="CommentText"/>
    <w:uiPriority w:val="99"/>
    <w:rsid w:val="00582634"/>
    <w:rPr>
      <w:sz w:val="20"/>
      <w:szCs w:val="20"/>
    </w:rPr>
  </w:style>
  <w:style w:type="paragraph" w:styleId="Bibliography">
    <w:name w:val="Bibliography"/>
    <w:basedOn w:val="Normal"/>
    <w:next w:val="Normal"/>
    <w:uiPriority w:val="37"/>
    <w:unhideWhenUsed/>
    <w:rsid w:val="00482509"/>
  </w:style>
  <w:style w:type="paragraph" w:styleId="Header">
    <w:name w:val="header"/>
    <w:basedOn w:val="Normal"/>
    <w:link w:val="HeaderChar"/>
    <w:uiPriority w:val="99"/>
    <w:unhideWhenUsed/>
    <w:rsid w:val="00482509"/>
    <w:pPr>
      <w:tabs>
        <w:tab w:val="center" w:pos="4680"/>
        <w:tab w:val="right" w:pos="9360"/>
      </w:tabs>
    </w:pPr>
    <w:rPr>
      <w:sz w:val="20"/>
      <w:szCs w:val="20"/>
    </w:rPr>
  </w:style>
  <w:style w:type="character" w:customStyle="1" w:styleId="HeaderChar">
    <w:name w:val="Header Char"/>
    <w:basedOn w:val="DefaultParagraphFont"/>
    <w:link w:val="Header"/>
    <w:uiPriority w:val="99"/>
    <w:rsid w:val="00482509"/>
    <w:rPr>
      <w:sz w:val="20"/>
      <w:szCs w:val="20"/>
    </w:rPr>
  </w:style>
  <w:style w:type="paragraph" w:styleId="Footer">
    <w:name w:val="footer"/>
    <w:basedOn w:val="Normal"/>
    <w:link w:val="FooterChar"/>
    <w:uiPriority w:val="99"/>
    <w:unhideWhenUsed/>
    <w:rsid w:val="00482509"/>
    <w:pPr>
      <w:tabs>
        <w:tab w:val="center" w:pos="4680"/>
        <w:tab w:val="right" w:pos="9360"/>
      </w:tabs>
    </w:pPr>
    <w:rPr>
      <w:sz w:val="20"/>
      <w:szCs w:val="20"/>
    </w:rPr>
  </w:style>
  <w:style w:type="character" w:customStyle="1" w:styleId="FooterChar">
    <w:name w:val="Footer Char"/>
    <w:basedOn w:val="DefaultParagraphFont"/>
    <w:link w:val="Footer"/>
    <w:uiPriority w:val="99"/>
    <w:rsid w:val="00482509"/>
    <w:rPr>
      <w:sz w:val="20"/>
      <w:szCs w:val="20"/>
    </w:rPr>
  </w:style>
  <w:style w:type="paragraph" w:styleId="CommentSubject">
    <w:name w:val="annotation subject"/>
    <w:basedOn w:val="CommentText"/>
    <w:next w:val="CommentText"/>
    <w:link w:val="CommentSubjectChar"/>
    <w:uiPriority w:val="99"/>
    <w:semiHidden/>
    <w:unhideWhenUsed/>
    <w:rsid w:val="00482509"/>
    <w:rPr>
      <w:b/>
      <w:bCs/>
    </w:rPr>
  </w:style>
  <w:style w:type="character" w:customStyle="1" w:styleId="CommentSubjectChar">
    <w:name w:val="Comment Subject Char"/>
    <w:basedOn w:val="CommentTextChar"/>
    <w:link w:val="CommentSubject"/>
    <w:uiPriority w:val="99"/>
    <w:semiHidden/>
    <w:rsid w:val="004825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4</cp:revision>
  <dcterms:created xsi:type="dcterms:W3CDTF">2026-04-29T10:19:00Z</dcterms:created>
  <dcterms:modified xsi:type="dcterms:W3CDTF">2026-04-29T10:20:00Z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id="cpqHy5au"/&gt;&lt;style id="http://www.zotero.org/styles/apa" locale="en-US" hasBibliography="1" bibliographyStyleHasBeenSet="1"/&gt;&lt;prefs&gt;&lt;pref name="fieldType" value="Field"/&gt;&lt;/prefs&gt;&lt;/data&gt;</vt:lpwstr>
  </property>
  <property fmtid="{D5CDD505-2E9C-101B-9397-08002B2CF9AE}" pid="3" name="GrammarlyDocumentId">
    <vt:lpwstr>59f9aa1d-2f40-4b5c-a45e-3bc5e5987c44</vt:lpwstr>
  </property>
</Properties>
</file>