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690B" w14:textId="77777777" w:rsidR="009B78B4" w:rsidRPr="00613C15" w:rsidRDefault="00DB019C" w:rsidP="00CA63EE">
      <w:pPr>
        <w:pStyle w:val="Heading1"/>
        <w:spacing w:before="39"/>
        <w:jc w:val="center"/>
      </w:pPr>
      <w:r w:rsidRPr="00613C15">
        <w:t>Helms</w:t>
      </w:r>
      <w:r w:rsidRPr="00613C15">
        <w:rPr>
          <w:spacing w:val="-5"/>
        </w:rPr>
        <w:t xml:space="preserve"> </w:t>
      </w:r>
      <w:r w:rsidRPr="00613C15">
        <w:t>School</w:t>
      </w:r>
      <w:r w:rsidRPr="00613C15">
        <w:rPr>
          <w:spacing w:val="-4"/>
        </w:rPr>
        <w:t xml:space="preserve"> </w:t>
      </w:r>
      <w:r w:rsidRPr="00613C15">
        <w:t>of</w:t>
      </w:r>
      <w:r w:rsidRPr="00613C15">
        <w:rPr>
          <w:spacing w:val="-3"/>
        </w:rPr>
        <w:t xml:space="preserve"> </w:t>
      </w:r>
      <w:r w:rsidRPr="00613C15">
        <w:rPr>
          <w:spacing w:val="-2"/>
        </w:rPr>
        <w:t>Government</w:t>
      </w:r>
    </w:p>
    <w:p w14:paraId="7531A056" w14:textId="77777777" w:rsidR="009B78B4" w:rsidRPr="00DE7DB2" w:rsidRDefault="00DB019C" w:rsidP="00DE7DB2">
      <w:pPr>
        <w:spacing w:before="1"/>
        <w:ind w:left="1" w:right="1"/>
        <w:jc w:val="center"/>
        <w:rPr>
          <w:b/>
        </w:rPr>
      </w:pPr>
      <w:r w:rsidRPr="00613C15">
        <w:rPr>
          <w:b/>
          <w:spacing w:val="-2"/>
        </w:rPr>
        <w:t>Doctoral</w:t>
      </w:r>
      <w:r w:rsidRPr="00613C15">
        <w:rPr>
          <w:b/>
          <w:spacing w:val="2"/>
        </w:rPr>
        <w:t xml:space="preserve"> </w:t>
      </w:r>
      <w:r w:rsidRPr="00DE7DB2">
        <w:rPr>
          <w:b/>
          <w:spacing w:val="-2"/>
        </w:rPr>
        <w:t>Research</w:t>
      </w:r>
      <w:r w:rsidRPr="00DE7DB2">
        <w:rPr>
          <w:b/>
          <w:spacing w:val="2"/>
        </w:rPr>
        <w:t xml:space="preserve"> </w:t>
      </w:r>
      <w:r w:rsidRPr="00613C15">
        <w:rPr>
          <w:b/>
          <w:spacing w:val="-2"/>
        </w:rPr>
        <w:t>Proposal</w:t>
      </w:r>
      <w:r w:rsidRPr="00613C15">
        <w:rPr>
          <w:b/>
          <w:spacing w:val="3"/>
        </w:rPr>
        <w:t xml:space="preserve"> </w:t>
      </w:r>
      <w:r w:rsidRPr="00613C15">
        <w:rPr>
          <w:b/>
          <w:spacing w:val="-2"/>
        </w:rPr>
        <w:t>Review</w:t>
      </w:r>
      <w:r>
        <w:rPr>
          <w:b/>
          <w:spacing w:val="-2"/>
        </w:rPr>
        <w:t>-Revised</w:t>
      </w:r>
    </w:p>
    <w:p w14:paraId="0BE0FF2D" w14:textId="77777777" w:rsidR="009B78B4" w:rsidRPr="00613C15" w:rsidRDefault="00DB019C" w:rsidP="009B78B4">
      <w:pPr>
        <w:pStyle w:val="BodyText"/>
        <w:spacing w:before="235"/>
        <w:rPr>
          <w:rFonts w:ascii="Times New Roman" w:hAnsi="Times New Roman" w:cs="Times New Roman"/>
          <w:b/>
          <w:i w:val="0"/>
          <w:sz w:val="24"/>
          <w:szCs w:val="24"/>
        </w:rPr>
      </w:pPr>
      <w:r w:rsidRPr="00613C15">
        <w:rPr>
          <w:rFonts w:ascii="Times New Roman" w:hAnsi="Times New Roman" w:cs="Times New Roman"/>
          <w:noProof/>
          <w:spacing w:val="-4"/>
          <w:sz w:val="24"/>
          <w:szCs w:val="24"/>
        </w:rPr>
        <mc:AlternateContent>
          <mc:Choice Requires="wps">
            <w:drawing>
              <wp:anchor distT="0" distB="0" distL="114300" distR="114300" simplePos="0" relativeHeight="251658240" behindDoc="0" locked="0" layoutInCell="1" allowOverlap="1" wp14:anchorId="3924AEAA" wp14:editId="4F4D8DA4">
                <wp:simplePos x="0" y="0"/>
                <wp:positionH relativeFrom="column">
                  <wp:posOffset>390525</wp:posOffset>
                </wp:positionH>
                <wp:positionV relativeFrom="paragraph">
                  <wp:posOffset>301943</wp:posOffset>
                </wp:positionV>
                <wp:extent cx="1552575" cy="304800"/>
                <wp:effectExtent l="0" t="0" r="0" b="0"/>
                <wp:wrapNone/>
                <wp:docPr id="257979469" name="Text Box 3"/>
                <wp:cNvGraphicFramePr/>
                <a:graphic xmlns:a="http://schemas.openxmlformats.org/drawingml/2006/main">
                  <a:graphicData uri="http://schemas.microsoft.com/office/word/2010/wordprocessingShape">
                    <wps:wsp>
                      <wps:cNvSpPr txBox="1"/>
                      <wps:spPr>
                        <a:xfrm>
                          <a:off x="0" y="0"/>
                          <a:ext cx="1552575" cy="304800"/>
                        </a:xfrm>
                        <a:prstGeom prst="rect">
                          <a:avLst/>
                        </a:prstGeom>
                        <a:noFill/>
                        <a:ln w="6350">
                          <a:noFill/>
                        </a:ln>
                      </wps:spPr>
                      <wps:txbx>
                        <w:txbxContent>
                          <w:p w14:paraId="70C5FECF" w14:textId="77777777" w:rsidR="009B78B4" w:rsidRPr="004E40B3" w:rsidRDefault="00DB019C" w:rsidP="009B78B4">
                            <w:r w:rsidRPr="004E40B3">
                              <w:t>Keith Linville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3924AEAA" id="_x0000_t202" coordsize="21600,21600" o:spt="202" path="m,l,21600r21600,l21600,xe">
                <v:stroke joinstyle="miter"/>
                <v:path gradientshapeok="t" o:connecttype="rect"/>
              </v:shapetype>
              <v:shape id="Text Box 3" o:spid="_x0000_s1026" type="#_x0000_t202" style="position:absolute;margin-left:30.75pt;margin-top:23.8pt;width:122.25pt;height:2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kmKgIAAEsEAAAOAAAAZHJzL2Uyb0RvYy54bWysVEuP2jAQvlfqf7B8LwmPsAsirOiuqCqh&#10;3ZWg2rNxHBLJ9ri2IaG/vmMnsGjbU9WLM+/HNzNZPLRKkpOwrgad0+EgpURoDkWtDzn9sVt/uafE&#10;eaYLJkGLnJ6Fow/Lz58WjZmLEVQgC2EJBtFu3picVt6beZI4XgnF3ACM0KgswSrmkbWHpLCswehK&#10;JqM0nSYN2MJY4MI5lD51SrqM8ctScP9Slk54InOKtfn42vjuw5ssF2x+sMxUNe/LYP9QhWK1xqTX&#10;UE/MM3K09R+hVM0tOCj9gINKoCxrLmIP2M0w/dDNtmJGxF4QHGeuMLn/F5Y/n14tqYucjrK72d1s&#10;Mp1RopnCUe1E68lXaMk4oNQYN0fjrUFz36IYp32ROxSG5tvSqvDFtgjqEe/zFeMQjAenLMNMGSUc&#10;deN0cp/GISTv3sY6/02AIoHIqcUZRmjZaeM8VoKmF5OQTMO6ljLOUWrS5HQ6ztLocNWgh9ToGHro&#10;ag2Ub/dt39geijP2ZaHbD2f4usbkG+b8K7O4ENgKLrl/waeUgEmgpyipwP76mzzY45xQS0mDC5ZT&#10;9/PIrKBEftc4wdlwMgkbGZlJdjdCxt5q9rcafVSPgDs8xHMyPJLB3ssLWVpQb3gLq5AVVUxzzJ1T&#10;fyEffbf2eEtcrFbRCHfQML/RW8ND6ABngHbXvjFrevw9Tu4ZLqvI5h/G0Nn24HY49gxubBxWf13h&#10;JG75aPX+D1j+BgAA//8DAFBLAwQUAAYACAAAACEA4N5C0uAAAAAIAQAADwAAAGRycy9kb3ducmV2&#10;LnhtbEyPwU7DMBBE70j8g7VI3KjTQkwJcaoqUoWE4NDSCzcn3iYR8TrEbhv4epYTHEczmnmTrybX&#10;ixOOofOkYT5LQCDV3nbUaNi/bW6WIEI0ZE3vCTV8YYBVcXmRm8z6M23xtIuN4BIKmdHQxjhkUoa6&#10;RWfCzA9I7B386ExkOTbSjubM5a6XiyRR0pmOeKE1A5Yt1h+7o9PwXG5ezbZauOV3Xz69HNbD5/49&#10;1fr6alo/gog4xb8w/OIzOhTMVPkj2SB6DWqeclLD3b0Cwf5tovhbpeEhVSCLXP4/UPwAAAD//wMA&#10;UEsBAi0AFAAGAAgAAAAhALaDOJL+AAAA4QEAABMAAAAAAAAAAAAAAAAAAAAAAFtDb250ZW50X1R5&#10;cGVzXS54bWxQSwECLQAUAAYACAAAACEAOP0h/9YAAACUAQAACwAAAAAAAAAAAAAAAAAvAQAAX3Jl&#10;bHMvLnJlbHNQSwECLQAUAAYACAAAACEAE7DZJioCAABLBAAADgAAAAAAAAAAAAAAAAAuAgAAZHJz&#10;L2Uyb0RvYy54bWxQSwECLQAUAAYACAAAACEA4N5C0uAAAAAIAQAADwAAAAAAAAAAAAAAAACEBAAA&#10;ZHJzL2Rvd25yZXYueG1sUEsFBgAAAAAEAAQA8wAAAJEFAAAAAA==&#10;" filled="f" stroked="f" strokeweight=".5pt">
                <v:textbox>
                  <w:txbxContent>
                    <w:p w14:paraId="70C5FECF" w14:textId="77777777" w:rsidR="009B78B4" w:rsidRPr="004E40B3" w:rsidRDefault="00DB019C" w:rsidP="009B78B4">
                      <w:r w:rsidRPr="004E40B3">
                        <w:t>Keith Linville</w:t>
                      </w:r>
                    </w:p>
                  </w:txbxContent>
                </v:textbox>
              </v:shape>
            </w:pict>
          </mc:Fallback>
        </mc:AlternateContent>
      </w:r>
    </w:p>
    <w:p w14:paraId="51AA259B" w14:textId="77777777" w:rsidR="009B78B4" w:rsidRPr="00613C15" w:rsidRDefault="009B78B4" w:rsidP="009B78B4">
      <w:pPr>
        <w:pStyle w:val="BodyText"/>
        <w:rPr>
          <w:rFonts w:ascii="Times New Roman" w:hAnsi="Times New Roman" w:cs="Times New Roman"/>
          <w:b/>
          <w:i w:val="0"/>
          <w:sz w:val="24"/>
          <w:szCs w:val="24"/>
        </w:rPr>
        <w:sectPr w:rsidR="009B78B4" w:rsidRPr="00613C15" w:rsidSect="009B78B4">
          <w:pgSz w:w="12240" w:h="15840"/>
          <w:pgMar w:top="1400" w:right="1080" w:bottom="280" w:left="1080" w:header="720" w:footer="720" w:gutter="0"/>
          <w:cols w:space="720"/>
        </w:sectPr>
      </w:pPr>
    </w:p>
    <w:p w14:paraId="0771975C" w14:textId="77777777" w:rsidR="009B78B4" w:rsidRPr="00613C15" w:rsidRDefault="00DB019C" w:rsidP="009B78B4">
      <w:pPr>
        <w:spacing w:before="56" w:line="480" w:lineRule="auto"/>
      </w:pPr>
      <w:r w:rsidRPr="00613C15">
        <w:rPr>
          <w:b/>
          <w:bCs/>
          <w:noProof/>
          <w:spacing w:val="-4"/>
        </w:rPr>
        <mc:AlternateContent>
          <mc:Choice Requires="wps">
            <w:drawing>
              <wp:anchor distT="0" distB="0" distL="114300" distR="114300" simplePos="0" relativeHeight="251660288" behindDoc="0" locked="0" layoutInCell="1" allowOverlap="1" wp14:anchorId="6D3FBD45" wp14:editId="414CE119">
                <wp:simplePos x="0" y="0"/>
                <wp:positionH relativeFrom="column">
                  <wp:posOffset>390207</wp:posOffset>
                </wp:positionH>
                <wp:positionV relativeFrom="paragraph">
                  <wp:posOffset>347345</wp:posOffset>
                </wp:positionV>
                <wp:extent cx="1552575" cy="304800"/>
                <wp:effectExtent l="0" t="0" r="0" b="0"/>
                <wp:wrapNone/>
                <wp:docPr id="697503115" name="Text Box 3"/>
                <wp:cNvGraphicFramePr/>
                <a:graphic xmlns:a="http://schemas.openxmlformats.org/drawingml/2006/main">
                  <a:graphicData uri="http://schemas.microsoft.com/office/word/2010/wordprocessingShape">
                    <wps:wsp>
                      <wps:cNvSpPr txBox="1"/>
                      <wps:spPr>
                        <a:xfrm>
                          <a:off x="0" y="0"/>
                          <a:ext cx="1552575" cy="304800"/>
                        </a:xfrm>
                        <a:prstGeom prst="rect">
                          <a:avLst/>
                        </a:prstGeom>
                        <a:noFill/>
                        <a:ln w="6350">
                          <a:noFill/>
                        </a:ln>
                      </wps:spPr>
                      <wps:txbx>
                        <w:txbxContent>
                          <w:p w14:paraId="39296A53" w14:textId="77777777" w:rsidR="009B78B4" w:rsidRPr="004E40B3" w:rsidRDefault="00DB019C" w:rsidP="009B78B4">
                            <w:r w:rsidRPr="004E40B3">
                              <w:t>L34610434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6D3FBD45" id="_x0000_s1027" type="#_x0000_t202" style="position:absolute;margin-left:30.7pt;margin-top:27.35pt;width:122.2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SwLgIAAFIEAAAOAAAAZHJzL2Uyb0RvYy54bWysVE1v2zAMvQ/YfxB0X2wncT+COEXWIsOA&#10;oC2QDD0rshwbkERNUmJnv36U7KRBt9Owi0yRFMnHR3r+0ClJjsK6BnRBs1FKidAcykbvC/pju/py&#10;R4nzTJdMghYFPQlHHxafP81bMxNjqEGWwhIMot2sNQWtvTezJHG8Foq5ERih0ViBVczj1e6T0rIW&#10;oyuZjNP0JmnBlsYCF86h9qk30kWMX1WC+5eqcsITWVCszcfTxnMXzmQxZ7O9ZaZu+FAG+4cqFGs0&#10;Jr2EemKekYNt/gilGm7BQeVHHFQCVdVwETEgmiz9gGZTMyMiFmyOM5c2uf8Xlj8fXy1pyoLe3N/m&#10;6STLcko0U0jVVnSefIWOTEKXWuNm6Lwx6O47VCPbZ71DZQDfVVaFL8IiaMd+ny49DsF4eJTn4/wW&#10;k3C0TdLpXRpJSN5fG+v8NwGKBKGgFjmMrWXHtfNYCbqeXUIyDatGysij1KRFIJM8jQ8uFnwhNT4M&#10;GPpag+S7XReRX3DsoDwhPAv9mDjDVw3WsGbOvzKLc4GIcNb9Cx6VBMwFg0RJDfbX3/TBH+lCKyUt&#10;zllB3c8Ds4IS+V0jkffZdBoGM16m+e0YL/basru26IN6BBzlDLfK8CgGfy/PYmVBveFKLENWNDHN&#10;MXdB/Vl89P3040pxsVxGJxxFw/xabwwPoUNXQ4e33RuzZqDBI4HPcJ5INvvARu879Ljv43DBwY2c&#10;DUsWNuP6Hr3efwWL3wAAAP//AwBQSwMEFAAGAAgAAAAhABfZIQHhAAAACQEAAA8AAABkcnMvZG93&#10;bnJldi54bWxMj8FOwzAQRO9I/IO1SNyo3dC0JcSpqkgVEoJDSy/cnHibRNjrELtt6NfjnuC4mqeZ&#10;t/lqtIadcPCdIwnTiQCGVDvdUSNh/7F5WALzQZFWxhFK+EEPq+L2JleZdmfa4mkXGhZLyGdKQhtC&#10;n3Hu6xat8hPXI8Xs4AarQjyHhutBnWO5NTwRYs6t6igutKrHssX6a3e0El7LzbvaVoldXkz58nZY&#10;99/7z1TK+7tx/Qws4Bj+YLjqR3UoolPljqQ9MxLm01kkJaSzBbCYP4r0CVgVQZEsgBc5//9B8QsA&#10;AP//AwBQSwECLQAUAAYACAAAACEAtoM4kv4AAADhAQAAEwAAAAAAAAAAAAAAAAAAAAAAW0NvbnRl&#10;bnRfVHlwZXNdLnhtbFBLAQItABQABgAIAAAAIQA4/SH/1gAAAJQBAAALAAAAAAAAAAAAAAAAAC8B&#10;AABfcmVscy8ucmVsc1BLAQItABQABgAIAAAAIQCrPVSwLgIAAFIEAAAOAAAAAAAAAAAAAAAAAC4C&#10;AABkcnMvZTJvRG9jLnhtbFBLAQItABQABgAIAAAAIQAX2SEB4QAAAAkBAAAPAAAAAAAAAAAAAAAA&#10;AIgEAABkcnMvZG93bnJldi54bWxQSwUGAAAAAAQABADzAAAAlgUAAAAA&#10;" filled="f" stroked="f" strokeweight=".5pt">
                <v:textbox>
                  <w:txbxContent>
                    <w:p w14:paraId="39296A53" w14:textId="77777777" w:rsidR="009B78B4" w:rsidRPr="004E40B3" w:rsidRDefault="00DB019C" w:rsidP="009B78B4">
                      <w:r w:rsidRPr="004E40B3">
                        <w:t>L34610434</w:t>
                      </w:r>
                    </w:p>
                  </w:txbxContent>
                </v:textbox>
              </v:shape>
            </w:pict>
          </mc:Fallback>
        </mc:AlternateContent>
      </w:r>
      <w:r w:rsidRPr="00613C15">
        <w:rPr>
          <w:b/>
          <w:bCs/>
          <w:spacing w:val="-4"/>
        </w:rPr>
        <w:t>Name:</w:t>
      </w:r>
      <w:r w:rsidRPr="00613C15">
        <w:rPr>
          <w:spacing w:val="-4"/>
        </w:rPr>
        <w:t xml:space="preserve"> </w:t>
      </w:r>
      <w:r w:rsidRPr="00613C15">
        <w:rPr>
          <w:b/>
          <w:bCs/>
          <w:spacing w:val="-2"/>
        </w:rPr>
        <w:t>LUID:</w:t>
      </w:r>
    </w:p>
    <w:p w14:paraId="2BC8550D" w14:textId="77777777" w:rsidR="009B78B4" w:rsidRPr="00613C15" w:rsidRDefault="00DB019C" w:rsidP="009B78B4">
      <w:pPr>
        <w:rPr>
          <w:b/>
          <w:bCs/>
        </w:rPr>
      </w:pPr>
      <w:r w:rsidRPr="00613C15">
        <w:rPr>
          <w:noProof/>
          <w:spacing w:val="-4"/>
        </w:rPr>
        <mc:AlternateContent>
          <mc:Choice Requires="wps">
            <w:drawing>
              <wp:anchor distT="0" distB="0" distL="114300" distR="114300" simplePos="0" relativeHeight="251662336" behindDoc="0" locked="0" layoutInCell="1" allowOverlap="1" wp14:anchorId="3D645E9D" wp14:editId="4E8E8167">
                <wp:simplePos x="0" y="0"/>
                <wp:positionH relativeFrom="margin">
                  <wp:posOffset>-75883</wp:posOffset>
                </wp:positionH>
                <wp:positionV relativeFrom="paragraph">
                  <wp:posOffset>31115</wp:posOffset>
                </wp:positionV>
                <wp:extent cx="2347913" cy="461645"/>
                <wp:effectExtent l="0" t="0" r="0" b="0"/>
                <wp:wrapNone/>
                <wp:docPr id="1181734096" name="Text Box 3"/>
                <wp:cNvGraphicFramePr/>
                <a:graphic xmlns:a="http://schemas.openxmlformats.org/drawingml/2006/main">
                  <a:graphicData uri="http://schemas.microsoft.com/office/word/2010/wordprocessingShape">
                    <wps:wsp>
                      <wps:cNvSpPr txBox="1"/>
                      <wps:spPr>
                        <a:xfrm>
                          <a:off x="0" y="0"/>
                          <a:ext cx="2347913" cy="461645"/>
                        </a:xfrm>
                        <a:prstGeom prst="rect">
                          <a:avLst/>
                        </a:prstGeom>
                        <a:noFill/>
                        <a:ln w="6350">
                          <a:noFill/>
                        </a:ln>
                      </wps:spPr>
                      <wps:txbx>
                        <w:txbxContent>
                          <w:p w14:paraId="40185446" w14:textId="77777777" w:rsidR="009B78B4" w:rsidRPr="00613C15" w:rsidRDefault="00DB019C" w:rsidP="009B78B4">
                            <w:r>
                              <w:t xml:space="preserve">Program: </w:t>
                            </w:r>
                            <w:r w:rsidRPr="00613C15">
                              <w:t>Doctorate of Public Administration (DPA)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D645E9D" id="_x0000_s1028" type="#_x0000_t202" style="position:absolute;margin-left:-6pt;margin-top:2.45pt;width:184.9pt;height:36.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z8LwIAAFMEAAAOAAAAZHJzL2Uyb0RvYy54bWysVN9v2jAQfp+0/8Hy+0gCgRZEqFgrpkmo&#10;rQRTn43jkEiOz7MNCfvrd3YSiro9TXtx7pfv/N19l+VDW0tyFsZWoDKajGJKhOKQV+qY0R/7zZd7&#10;SqxjKmcSlMjoRVj6sPr8adnohRhDCTIXhmASZReNzmjpnF5EkeWlqJkdgRYKnQWYmjlUzTHKDWsw&#10;ey2jcRzPogZMrg1wYS1anzonXYX8RSG4eykKKxyRGcW3uXCacB78Ga2WbHE0TJcV75/B/uEVNasU&#10;Fr2memKOkZOp/khVV9yAhcKNONQRFEXFRcCAaJL4A5pdybQIWLA5Vl/bZP9fWv58fjWkynF2yX1y&#10;N0nj+YwSxWqc1V60jnyFlkx8mxptFxi90xjvWjTjlcFu0ejRt4Wp/RdxEfRjwy/XJvtkHI3jSXo3&#10;TyaUcPSls2SWTn2a6P22NtZ9E1ATL2TU4BBDb9l5a10XOoT4Ygo2lZRhkFKRJqOzyTQOF64eTC4V&#10;1vAYurd6ybWHNkAfDzgOkF8QnoGOJ1bzTYVv2DLrXplBYiAiJLt7waOQgLWglygpwfz6m93H47zQ&#10;S0mDRMuo/XliRlAivyuc5DxJU8/MoKTTuzEq5tZzuPWoU/0IyOUE10rzIPp4JwexMFC/4U6sfVV0&#10;McWxdkbdID66jv64U1ys1yEIuaiZ26qd5j6176rv8L59Y0b3Y3A4wGcYKMkWH6bRxfY97vrYK8jc&#10;MN5+y/xq3Ooh6v1fsPoNAAD//wMAUEsDBBQABgAIAAAAIQCsy1EC4QAAAAgBAAAPAAAAZHJzL2Rv&#10;d25yZXYueG1sTI9BT8JAEIXvJv6HzZh4gy1VKNZOCWlCTIweQC7ept2lbezu1u4ClV/PeNLj5E3e&#10;+75sNZpOnPTgW2cRZtMIhLaVU62tEfYfm8kShA9kFXXOaoQf7WGV395klCp3tlt92oVacIn1KSE0&#10;IfSplL5qtCE/db22nB3cYCjwOdRSDXTmctPJOIoW0lBreaGhXheNrr52R4PwWmzeaVvGZnnpipe3&#10;w7r/3n/OEe/vxvUziKDH8PcMv/iMDjkzle5olRcdwmQWs0tAeHwCwfnDPGGVEiFJFiDzTP4XyK8A&#10;AAD//wMAUEsBAi0AFAAGAAgAAAAhALaDOJL+AAAA4QEAABMAAAAAAAAAAAAAAAAAAAAAAFtDb250&#10;ZW50X1R5cGVzXS54bWxQSwECLQAUAAYACAAAACEAOP0h/9YAAACUAQAACwAAAAAAAAAAAAAAAAAv&#10;AQAAX3JlbHMvLnJlbHNQSwECLQAUAAYACAAAACEAGcFs/C8CAABTBAAADgAAAAAAAAAAAAAAAAAu&#10;AgAAZHJzL2Uyb0RvYy54bWxQSwECLQAUAAYACAAAACEArMtRAuEAAAAIAQAADwAAAAAAAAAAAAAA&#10;AACJBAAAZHJzL2Rvd25yZXYueG1sUEsFBgAAAAAEAAQA8wAAAJcFAAAAAA==&#10;" filled="f" stroked="f" strokeweight=".5pt">
                <v:textbox>
                  <w:txbxContent>
                    <w:p w14:paraId="40185446" w14:textId="77777777" w:rsidR="009B78B4" w:rsidRPr="00613C15" w:rsidRDefault="00DB019C" w:rsidP="009B78B4">
                      <w:r>
                        <w:t xml:space="preserve">Program: </w:t>
                      </w:r>
                      <w:r w:rsidRPr="00613C15">
                        <w:t>Doctorate of Public Administration (DPA)</w:t>
                      </w:r>
                    </w:p>
                  </w:txbxContent>
                </v:textbox>
                <w10:wrap anchorx="margin"/>
              </v:shape>
            </w:pict>
          </mc:Fallback>
        </mc:AlternateContent>
      </w:r>
    </w:p>
    <w:p w14:paraId="3F73A924" w14:textId="77777777" w:rsidR="009B78B4" w:rsidRPr="00613C15" w:rsidRDefault="00DB019C" w:rsidP="009B78B4">
      <w:pPr>
        <w:spacing w:before="56"/>
        <w:rPr>
          <w:b/>
          <w:bCs/>
        </w:rPr>
      </w:pPr>
      <w:r w:rsidRPr="00613C15">
        <w:rPr>
          <w:b/>
          <w:bCs/>
        </w:rPr>
        <w:br w:type="column"/>
      </w:r>
      <w:r w:rsidRPr="00613C15">
        <w:rPr>
          <w:b/>
          <w:bCs/>
        </w:rPr>
        <w:t>Desired</w:t>
      </w:r>
      <w:r w:rsidRPr="00613C15">
        <w:rPr>
          <w:b/>
          <w:bCs/>
          <w:spacing w:val="-10"/>
        </w:rPr>
        <w:t xml:space="preserve"> </w:t>
      </w:r>
      <w:r w:rsidRPr="00613C15">
        <w:rPr>
          <w:b/>
          <w:bCs/>
        </w:rPr>
        <w:t>885</w:t>
      </w:r>
      <w:r w:rsidRPr="00613C15">
        <w:rPr>
          <w:b/>
          <w:bCs/>
          <w:spacing w:val="-12"/>
        </w:rPr>
        <w:t xml:space="preserve"> </w:t>
      </w:r>
      <w:r w:rsidRPr="00613C15">
        <w:rPr>
          <w:b/>
          <w:bCs/>
        </w:rPr>
        <w:t>Registration</w:t>
      </w:r>
      <w:r w:rsidRPr="00613C15">
        <w:rPr>
          <w:b/>
          <w:bCs/>
          <w:spacing w:val="-11"/>
        </w:rPr>
        <w:t xml:space="preserve"> </w:t>
      </w:r>
      <w:r w:rsidRPr="00613C15">
        <w:rPr>
          <w:b/>
          <w:bCs/>
          <w:spacing w:val="-4"/>
        </w:rPr>
        <w:t>Term:</w:t>
      </w:r>
    </w:p>
    <w:p w14:paraId="532CA69D" w14:textId="77777777" w:rsidR="009B78B4" w:rsidRPr="00613C15" w:rsidRDefault="00DB019C" w:rsidP="009B78B4">
      <w:pPr>
        <w:pStyle w:val="BodyText"/>
        <w:rPr>
          <w:rFonts w:ascii="Times New Roman" w:hAnsi="Times New Roman" w:cs="Times New Roman"/>
          <w:i w:val="0"/>
          <w:sz w:val="24"/>
          <w:szCs w:val="24"/>
        </w:rPr>
      </w:pPr>
      <w:r w:rsidRPr="00613C15">
        <w:rPr>
          <w:rFonts w:ascii="Times New Roman" w:hAnsi="Times New Roman" w:cs="Times New Roman"/>
          <w:noProof/>
          <w:spacing w:val="-4"/>
          <w:sz w:val="24"/>
          <w:szCs w:val="24"/>
        </w:rPr>
        <mc:AlternateContent>
          <mc:Choice Requires="wps">
            <w:drawing>
              <wp:anchor distT="0" distB="0" distL="114300" distR="114300" simplePos="0" relativeHeight="251664384" behindDoc="0" locked="0" layoutInCell="1" allowOverlap="1" wp14:anchorId="4C073A7D" wp14:editId="4C5BA0BB">
                <wp:simplePos x="0" y="0"/>
                <wp:positionH relativeFrom="column">
                  <wp:posOffset>-635</wp:posOffset>
                </wp:positionH>
                <wp:positionV relativeFrom="paragraph">
                  <wp:posOffset>5080</wp:posOffset>
                </wp:positionV>
                <wp:extent cx="1552575" cy="304800"/>
                <wp:effectExtent l="0" t="0" r="0" b="0"/>
                <wp:wrapNone/>
                <wp:docPr id="2040558534" name="Text Box 3"/>
                <wp:cNvGraphicFramePr/>
                <a:graphic xmlns:a="http://schemas.openxmlformats.org/drawingml/2006/main">
                  <a:graphicData uri="http://schemas.microsoft.com/office/word/2010/wordprocessingShape">
                    <wps:wsp>
                      <wps:cNvSpPr txBox="1"/>
                      <wps:spPr>
                        <a:xfrm>
                          <a:off x="0" y="0"/>
                          <a:ext cx="1552575" cy="304800"/>
                        </a:xfrm>
                        <a:prstGeom prst="rect">
                          <a:avLst/>
                        </a:prstGeom>
                        <a:noFill/>
                        <a:ln w="6350">
                          <a:noFill/>
                        </a:ln>
                      </wps:spPr>
                      <wps:txbx>
                        <w:txbxContent>
                          <w:p w14:paraId="5B805B6E" w14:textId="77777777" w:rsidR="009B78B4" w:rsidRPr="004E40B3" w:rsidRDefault="00DB019C" w:rsidP="009B78B4">
                            <w:r w:rsidRPr="004E40B3">
                              <w:t>Spring 2026 D01-D20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4C073A7D" id="_x0000_s1029" type="#_x0000_t202" style="position:absolute;margin-left:-.05pt;margin-top:.4pt;width:122.25pt;height:2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1TmLwIAAFMEAAAOAAAAZHJzL2Uyb0RvYy54bWysVN9v2jAQfp+0/8Hy+0iApKWIULFWTJOq&#10;thJMfTaOQyLZPs82JOyv39kJFHV7mvbi3C+f77vvLov7TklyFNY1oAs6HqWUCM2hbPS+oD+26y8z&#10;SpxnumQStCjoSTh6v/z8adGauZhADbIUlmAS7eatKWjtvZknieO1UMyNwAiNzgqsYh5Vu09Ky1rM&#10;rmQySdObpAVbGgtcOIfWx95JlzF/VQnuX6rKCU9kQbE2H08bz104k+WCzfeWmbrhQxnsH6pQrNH4&#10;6CXVI/OMHGzzRyrVcAsOKj/ioBKoqoaLiAHRjNMPaDY1MyJiweY4c2mT+39p+fPx1ZKmLOgkzdI8&#10;n+XTjBLNFHK1FZ0nX6Ej09Cm1rg5Rm8MxvsOzUj32e7QGNB3lVXhi7gI+rHhp0uTQzIeLuX5JL/N&#10;KeHom6bZLI0sJO+3jXX+mwBFglBQiyTG3rLjk/NYCYaeQ8JjGtaNlJFIqUlb0JtpnsYLFw/ekBov&#10;Bgx9rUHy3a6L0C/4dlCeEJ6Ffk6c4esGa3hizr8yi4OBiHDY/QselQR8CwaJkhrsr7/ZQzzyhV5K&#10;Why0grqfB2YFJfK7RibvxlkWJjMqWX47QcVee3bXHn1QD4CzPMa1MjyKId7Ls1hZUG+4E6vwKrqY&#10;5vh2Qf1ZfPD9+ONOcbFaxSCcRcP8k94YHlKHroYOb7s3Zs1Ag0cCn+E8kmz+gY0+duhx38dBwcmN&#10;nA1bFlbjWo9R7/+C5W8AAAD//wMAUEsDBBQABgAIAAAAIQAWvyuE3AAAAAUBAAAPAAAAZHJzL2Rv&#10;d25yZXYueG1sTM5PS8NAEAXwu+B3WEbw1m4aooSYSSmBIogeWnvxNslOk+D+idltG/30rid7HN7j&#10;za9cz0aLM09+cBZhtUxAsG2dGmyHcHjfLnIQPpBVpJ1lhG/2sK5ub0oqlLvYHZ/3oRNxxPqCEPoQ&#10;xkJK3/ZsyC/dyDZmRzcZCvGcOqkmusRxo2WaJI/S0GDjh55GrntuP/cng/BSb99o16Qm/9H18+tx&#10;M34dPh4Q7+/mzROIwHP4L8MfP9KhiqbGnazyQiMsVrGIEPkxTLMsA9EgZHkOsirltb76BQAA//8D&#10;AFBLAQItABQABgAIAAAAIQC2gziS/gAAAOEBAAATAAAAAAAAAAAAAAAAAAAAAABbQ29udGVudF9U&#10;eXBlc10ueG1sUEsBAi0AFAAGAAgAAAAhADj9If/WAAAAlAEAAAsAAAAAAAAAAAAAAAAALwEAAF9y&#10;ZWxzLy5yZWxzUEsBAi0AFAAGAAgAAAAhAJEXVOYvAgAAUwQAAA4AAAAAAAAAAAAAAAAALgIAAGRy&#10;cy9lMm9Eb2MueG1sUEsBAi0AFAAGAAgAAAAhABa/K4TcAAAABQEAAA8AAAAAAAAAAAAAAAAAiQQA&#10;AGRycy9kb3ducmV2LnhtbFBLBQYAAAAABAAEAPMAAACSBQAAAAA=&#10;" filled="f" stroked="f" strokeweight=".5pt">
                <v:textbox>
                  <w:txbxContent>
                    <w:p w14:paraId="5B805B6E" w14:textId="77777777" w:rsidR="009B78B4" w:rsidRPr="004E40B3" w:rsidRDefault="00DB019C" w:rsidP="009B78B4">
                      <w:r w:rsidRPr="004E40B3">
                        <w:t>Spring 2026 D01-D20</w:t>
                      </w:r>
                    </w:p>
                  </w:txbxContent>
                </v:textbox>
              </v:shape>
            </w:pict>
          </mc:Fallback>
        </mc:AlternateContent>
      </w:r>
    </w:p>
    <w:p w14:paraId="7300BB62" w14:textId="77777777" w:rsidR="009B78B4" w:rsidRPr="00613C15" w:rsidRDefault="009B78B4" w:rsidP="009B78B4">
      <w:pPr>
        <w:pStyle w:val="BodyText"/>
        <w:spacing w:before="1"/>
        <w:rPr>
          <w:rFonts w:ascii="Times New Roman" w:hAnsi="Times New Roman" w:cs="Times New Roman"/>
          <w:i w:val="0"/>
          <w:sz w:val="24"/>
          <w:szCs w:val="24"/>
        </w:rPr>
      </w:pPr>
    </w:p>
    <w:p w14:paraId="7E21A372" w14:textId="60BCC955" w:rsidR="009B78B4" w:rsidRPr="00CA63EE" w:rsidRDefault="00DB019C" w:rsidP="00193A45">
      <w:pPr>
        <w:spacing w:line="720" w:lineRule="auto"/>
        <w:ind w:right="605"/>
        <w:contextualSpacing/>
        <w:rPr>
          <w:b/>
          <w:bCs/>
        </w:rPr>
        <w:sectPr w:rsidR="009B78B4" w:rsidRPr="00CA63EE">
          <w:type w:val="continuous"/>
          <w:pgSz w:w="12240" w:h="15840"/>
          <w:pgMar w:top="1400" w:right="1080" w:bottom="280" w:left="1080" w:header="720" w:footer="720" w:gutter="0"/>
          <w:cols w:num="2" w:space="720" w:equalWidth="0">
            <w:col w:w="820" w:space="4581"/>
            <w:col w:w="4679" w:space="0"/>
          </w:cols>
        </w:sectPr>
      </w:pPr>
      <w:r w:rsidRPr="00613C15">
        <w:rPr>
          <w:b/>
          <w:bCs/>
          <w:noProof/>
          <w:spacing w:val="-4"/>
        </w:rPr>
        <mc:AlternateContent>
          <mc:Choice Requires="wps">
            <w:drawing>
              <wp:anchor distT="0" distB="0" distL="114300" distR="114300" simplePos="0" relativeHeight="251668480" behindDoc="0" locked="0" layoutInCell="1" allowOverlap="1" wp14:anchorId="7231FF2C" wp14:editId="031721A4">
                <wp:simplePos x="0" y="0"/>
                <wp:positionH relativeFrom="column">
                  <wp:posOffset>-318</wp:posOffset>
                </wp:positionH>
                <wp:positionV relativeFrom="paragraph">
                  <wp:posOffset>697230</wp:posOffset>
                </wp:positionV>
                <wp:extent cx="3071812" cy="895350"/>
                <wp:effectExtent l="0" t="0" r="0" b="0"/>
                <wp:wrapNone/>
                <wp:docPr id="1175786761" name="Text Box 3"/>
                <wp:cNvGraphicFramePr/>
                <a:graphic xmlns:a="http://schemas.openxmlformats.org/drawingml/2006/main">
                  <a:graphicData uri="http://schemas.microsoft.com/office/word/2010/wordprocessingShape">
                    <wps:wsp>
                      <wps:cNvSpPr txBox="1"/>
                      <wps:spPr>
                        <a:xfrm>
                          <a:off x="0" y="0"/>
                          <a:ext cx="3071812" cy="895350"/>
                        </a:xfrm>
                        <a:prstGeom prst="rect">
                          <a:avLst/>
                        </a:prstGeom>
                        <a:noFill/>
                        <a:ln w="6350">
                          <a:noFill/>
                        </a:ln>
                      </wps:spPr>
                      <wps:txbx>
                        <w:txbxContent>
                          <w:p w14:paraId="5311025F" w14:textId="77777777" w:rsidR="009B78B4" w:rsidRPr="004E40B3" w:rsidRDefault="00DB019C" w:rsidP="009B78B4">
                            <w:r w:rsidRPr="00AD6906">
                              <w:t>Governance, Coordination, and Equity in Disaster Response: A Comparative Analysis of Interagency Effectiveness Across Red, Blue, and Purple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231FF2C" id="_x0000_s1030" type="#_x0000_t202" style="position:absolute;margin-left:-.05pt;margin-top:54.9pt;width:241.8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7MLQIAAFMEAAAOAAAAZHJzL2Uyb0RvYy54bWysVEtv2zAMvg/YfxB0XxznXSNOkbXIMCBo&#10;CyRDz4osxwZkUZOU2NmvHyXbadrtNOwi8yWSHz/Ky/umkuQsjC1BpTQeDCkRikNWqmNKf+w3XxaU&#10;WMdUxiQokdKLsPR+9fnTstaJGEEBMhOGYBJlk1qntHBOJ1FkeSEqZgeghUJnDqZiDlVzjDLDasxe&#10;yWg0HM6iGkymDXBhLVofWyddhfx5Lrh7znMrHJEpxd5cOE04D/6MVkuWHA3TRcm7Ntg/dFGxUmHR&#10;a6pH5hg5mfKPVFXJDVjI3YBDFUGel1wEDIgmHn5AsyuYFgELDsfq65js/0vLn84vhpQZchfPp/PF&#10;bD6LKVGsQq72onHkKzRk7MdUa5tg9E5jvGvQjFd6u0WjR9/kpvJfxEXQjwO/XIfsk3E0jofzeBGP&#10;KOHoW9xNx9PAQvR2WxvrvgmoiBdSapDEMFt23lqHnWBoH+KLKdiUUgYipSJ1Smc+5TsP3pAKL3oM&#10;ba9ecs2hCdAnPY4DZBeEZ6DdE6v5psQetsy6F2ZwMRARLrt7xiOXgLWgkygpwPz6m93HI1/opaTG&#10;RUup/XliRlAivytk8i6eTPxmBmUynY9QMbeew61HnaoHwF1GkrC7IPp4J3sxN1C94ptY+6roYopj&#10;7ZS6Xnxw7frjm+JivQ5BuIuaua3aae5T+9n5Ce+bV2Z0R4NDAp+gX0mWfGCjje1m3M6xU3BzA2fd&#10;K/NP41YPUW//gtVvAAAA//8DAFBLAwQUAAYACAAAACEA4TI/9+EAAAAJAQAADwAAAGRycy9kb3du&#10;cmV2LnhtbEyPwU7DMBBE70j8g7VI3Fq7gVYhxKmqSBUSgkNLL9w2sZtExOsQu23g61lOcNyZ0eyb&#10;fD25XpztGDpPGhZzBcJS7U1HjYbD23aWgggRyWDvyWr4sgHWxfVVjpnxF9rZ8z42gksoZKihjXHI&#10;pAx1ax2GuR8ssXf0o8PI59hIM+KFy10vE6VW0mFH/KHFwZatrT/2J6fhudy+4q5KXPrdl08vx83w&#10;eXhfan17M20eQUQ7xb8w/OIzOhTMVPkTmSB6DbMFB1lWD7yA/fv0bgWi0pAsVQqyyOX/BcUPAAAA&#10;//8DAFBLAQItABQABgAIAAAAIQC2gziS/gAAAOEBAAATAAAAAAAAAAAAAAAAAAAAAABbQ29udGVu&#10;dF9UeXBlc10ueG1sUEsBAi0AFAAGAAgAAAAhADj9If/WAAAAlAEAAAsAAAAAAAAAAAAAAAAALwEA&#10;AF9yZWxzLy5yZWxzUEsBAi0AFAAGAAgAAAAhAB81LswtAgAAUwQAAA4AAAAAAAAAAAAAAAAALgIA&#10;AGRycy9lMm9Eb2MueG1sUEsBAi0AFAAGAAgAAAAhAOEyP/fhAAAACQEAAA8AAAAAAAAAAAAAAAAA&#10;hwQAAGRycy9kb3ducmV2LnhtbFBLBQYAAAAABAAEAPMAAACVBQAAAAA=&#10;" filled="f" stroked="f" strokeweight=".5pt">
                <v:textbox>
                  <w:txbxContent>
                    <w:p w14:paraId="5311025F" w14:textId="77777777" w:rsidR="009B78B4" w:rsidRPr="004E40B3" w:rsidRDefault="00DB019C" w:rsidP="009B78B4">
                      <w:r w:rsidRPr="00AD6906">
                        <w:t>Governance, Coordination, and Equity in Disaster Response: A Comparative Analysis of Interagency Effectiveness Across Red, Blue, and Purple States</w:t>
                      </w:r>
                    </w:p>
                  </w:txbxContent>
                </v:textbox>
              </v:shape>
            </w:pict>
          </mc:Fallback>
        </mc:AlternateContent>
      </w:r>
      <w:r w:rsidRPr="00613C15">
        <w:rPr>
          <w:b/>
          <w:bCs/>
          <w:noProof/>
          <w:spacing w:val="-4"/>
        </w:rPr>
        <mc:AlternateContent>
          <mc:Choice Requires="wps">
            <w:drawing>
              <wp:anchor distT="0" distB="0" distL="114300" distR="114300" simplePos="0" relativeHeight="251666432" behindDoc="0" locked="0" layoutInCell="1" allowOverlap="1" wp14:anchorId="29723E5C" wp14:editId="1ECF2897">
                <wp:simplePos x="0" y="0"/>
                <wp:positionH relativeFrom="column">
                  <wp:posOffset>-953</wp:posOffset>
                </wp:positionH>
                <wp:positionV relativeFrom="paragraph">
                  <wp:posOffset>173673</wp:posOffset>
                </wp:positionV>
                <wp:extent cx="1552575" cy="304800"/>
                <wp:effectExtent l="0" t="0" r="0" b="0"/>
                <wp:wrapNone/>
                <wp:docPr id="32169557" name="Text Box 3"/>
                <wp:cNvGraphicFramePr/>
                <a:graphic xmlns:a="http://schemas.openxmlformats.org/drawingml/2006/main">
                  <a:graphicData uri="http://schemas.microsoft.com/office/word/2010/wordprocessingShape">
                    <wps:wsp>
                      <wps:cNvSpPr txBox="1"/>
                      <wps:spPr>
                        <a:xfrm>
                          <a:off x="0" y="0"/>
                          <a:ext cx="1552575" cy="304800"/>
                        </a:xfrm>
                        <a:prstGeom prst="rect">
                          <a:avLst/>
                        </a:prstGeom>
                        <a:noFill/>
                        <a:ln w="6350">
                          <a:noFill/>
                        </a:ln>
                      </wps:spPr>
                      <wps:txbx>
                        <w:txbxContent>
                          <w:p w14:paraId="3D23E8B7" w14:textId="77777777" w:rsidR="009B78B4" w:rsidRPr="004E40B3" w:rsidRDefault="00DB019C" w:rsidP="009B78B4">
                            <w:r w:rsidRPr="004E40B3">
                              <w:t>Capstone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29723E5C" id="_x0000_s1031" type="#_x0000_t202" style="position:absolute;margin-left:-.1pt;margin-top:13.7pt;width:122.2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dnLgIAAFEEAAAOAAAAZHJzL2Uyb0RvYy54bWysVEtv2zAMvg/YfxB0X+w8nLRGnCJrkWFA&#10;0BZIhp4VWY4NyKImKbGzXz9KttOg22nYReZLFD9+pJcPbS3JWRhbgcroeBRTIhSHvFLHjP7Yb77c&#10;UWIdUzmToERGL8LSh9XnT8tGp2ICJchcGIJJlE0bndHSOZ1GkeWlqJkdgRYKnQWYmjlUzTHKDWsw&#10;ey2jSRzPowZMrg1wYS1anzonXYX8RSG4eykKKxyRGcXaXDhNOA/+jFZLlh4N02XF+zLYP1RRs0rh&#10;o9dUT8wxcjLVH6nqihuwULgRhzqCoqi4CBgQzTj+gGZXMi0CFmyO1dc22f+Xlj+fXw2p8oxOJ+P5&#10;fZIsKFGsRqb2onXkK7Rk6pvUaJti7E5jtGvRjGQPdotGj70tTO2/iIqgH9t9ubbYJ+P+UpJMkkVC&#10;CUffNJ7dxYGD6P22NtZ9E1ATL2TUIIWhs+y8tQ4rwdAhxD+mYFNJGWiUijQZnU+TOFy4evCGVHjR&#10;Y+hq9ZJrD20Angw4DpBfEJ6Bbkqs5psKa9gy616ZwbFARDjq7gWPQgK+Bb1ESQnm19/sPh7ZQi8l&#10;DY5ZRu3PEzOCEvldIY/349nMz2VQZsligoq59RxuPepUPwJO8hiXSvMg+ngnB7EwUL/hRqz9q+hi&#10;iuPbGXWD+Oi64ceN4mK9DkE4iZq5rdpp7lP7rvoO79s3ZnRPg0MCn2EYSJZ+YKOL7Xvc9bFXcG4D&#10;Z/2O+cW41UPU+59g9RsAAP//AwBQSwMEFAAGAAgAAAAhAMkOYsXfAAAABwEAAA8AAABkcnMvZG93&#10;bnJldi54bWxMjsFOwzAQRO9I/IO1SNxaB5PSKmRTVZEqJASHll64OfE2iYjXIXbbwNdjTnAczejN&#10;y9eT7cWZRt85RribJyCIa2c6bhAOb9vZCoQPmo3uHRPCF3lYF9dXuc6Mu/COzvvQiAhhn2mENoQh&#10;k9LXLVnt524gjt3RjVaHGMdGmlFfItz2UiXJg7S64/jQ6oHKluqP/ckiPJfbV72rlF199+XTy3Ez&#10;fB7eF4i3N9PmEUSgKfyN4Vc/qkMRnSp3YuNFjzBTcYiglimIWKs0vQdRISwXKcgil//9ix8AAAD/&#10;/wMAUEsBAi0AFAAGAAgAAAAhALaDOJL+AAAA4QEAABMAAAAAAAAAAAAAAAAAAAAAAFtDb250ZW50&#10;X1R5cGVzXS54bWxQSwECLQAUAAYACAAAACEAOP0h/9YAAACUAQAACwAAAAAAAAAAAAAAAAAvAQAA&#10;X3JlbHMvLnJlbHNQSwECLQAUAAYACAAAACEAspmHZy4CAABRBAAADgAAAAAAAAAAAAAAAAAuAgAA&#10;ZHJzL2Uyb0RvYy54bWxQSwECLQAUAAYACAAAACEAyQ5ixd8AAAAHAQAADwAAAAAAAAAAAAAAAACI&#10;BAAAZHJzL2Rvd25yZXYueG1sUEsFBgAAAAAEAAQA8wAAAJQFAAAAAA==&#10;" filled="f" stroked="f" strokeweight=".5pt">
                <v:textbox>
                  <w:txbxContent>
                    <w:p w14:paraId="3D23E8B7" w14:textId="77777777" w:rsidR="009B78B4" w:rsidRPr="004E40B3" w:rsidRDefault="00DB019C" w:rsidP="009B78B4">
                      <w:r w:rsidRPr="004E40B3">
                        <w:t>Capstone</w:t>
                      </w:r>
                    </w:p>
                  </w:txbxContent>
                </v:textbox>
              </v:shape>
            </w:pict>
          </mc:Fallback>
        </mc:AlternateContent>
      </w:r>
      <w:r w:rsidRPr="00613C15">
        <w:rPr>
          <w:b/>
          <w:bCs/>
        </w:rPr>
        <w:t>Project</w:t>
      </w:r>
      <w:r w:rsidRPr="00613C15">
        <w:rPr>
          <w:b/>
          <w:bCs/>
          <w:spacing w:val="-13"/>
        </w:rPr>
        <w:t xml:space="preserve"> </w:t>
      </w:r>
      <w:r w:rsidRPr="00613C15">
        <w:rPr>
          <w:b/>
          <w:bCs/>
        </w:rPr>
        <w:t>Type</w:t>
      </w:r>
      <w:r w:rsidRPr="00613C15">
        <w:rPr>
          <w:b/>
          <w:bCs/>
          <w:spacing w:val="-12"/>
        </w:rPr>
        <w:t xml:space="preserve"> </w:t>
      </w:r>
      <w:r w:rsidRPr="00613C15">
        <w:rPr>
          <w:b/>
          <w:bCs/>
        </w:rPr>
        <w:t>(Dissertation</w:t>
      </w:r>
      <w:r w:rsidRPr="00613C15">
        <w:rPr>
          <w:b/>
          <w:bCs/>
          <w:spacing w:val="-13"/>
        </w:rPr>
        <w:t xml:space="preserve"> </w:t>
      </w:r>
      <w:r w:rsidRPr="00613C15">
        <w:rPr>
          <w:b/>
          <w:bCs/>
        </w:rPr>
        <w:t>or</w:t>
      </w:r>
      <w:r w:rsidRPr="00613C15">
        <w:rPr>
          <w:b/>
          <w:bCs/>
          <w:spacing w:val="-12"/>
        </w:rPr>
        <w:t xml:space="preserve"> </w:t>
      </w:r>
      <w:r w:rsidRPr="00613C15">
        <w:rPr>
          <w:b/>
          <w:bCs/>
        </w:rPr>
        <w:t>Capstone)</w:t>
      </w:r>
      <w:r w:rsidRPr="00613C15">
        <w:t xml:space="preserve"> </w:t>
      </w:r>
      <w:r w:rsidRPr="00613C15">
        <w:rPr>
          <w:b/>
          <w:bCs/>
        </w:rPr>
        <w:t xml:space="preserve">Project Working </w:t>
      </w:r>
      <w:proofErr w:type="spellStart"/>
      <w:r w:rsidRPr="00613C15">
        <w:rPr>
          <w:b/>
          <w:bCs/>
        </w:rPr>
        <w:t>Tit</w:t>
      </w:r>
      <w:r w:rsidR="00193A45">
        <w:rPr>
          <w:b/>
          <w:bCs/>
        </w:rPr>
        <w:t>l</w:t>
      </w:r>
      <w:proofErr w:type="spellEnd"/>
    </w:p>
    <w:p w14:paraId="6B884E90" w14:textId="70D196E3" w:rsidR="0029749B" w:rsidRPr="003A19EF" w:rsidRDefault="003A19EF" w:rsidP="003A19EF">
      <w:pPr>
        <w:jc w:val="center"/>
        <w:rPr>
          <w:b/>
          <w:bCs/>
        </w:rPr>
      </w:pPr>
      <w:r>
        <w:rPr>
          <w:b/>
          <w:bCs/>
        </w:rPr>
        <w:lastRenderedPageBreak/>
        <w:t>I</w:t>
      </w:r>
      <w:r w:rsidR="00DB019C" w:rsidRPr="003A19EF">
        <w:rPr>
          <w:b/>
          <w:bCs/>
        </w:rPr>
        <w:t>ntroduction and Research Questions</w:t>
      </w:r>
    </w:p>
    <w:p w14:paraId="673AD7C8" w14:textId="77777777" w:rsidR="00BA3EF8" w:rsidRDefault="00DB019C" w:rsidP="00BA3EF8">
      <w:pPr>
        <w:pStyle w:val="Heading1"/>
        <w:spacing w:line="480" w:lineRule="auto"/>
        <w:ind w:firstLine="720"/>
        <w:contextualSpacing/>
        <w:rPr>
          <w:b w:val="0"/>
          <w:bCs w:val="0"/>
        </w:rPr>
      </w:pPr>
      <w:r w:rsidRPr="00BA3EF8">
        <w:rPr>
          <w:rStyle w:val="cursor-pointer"/>
          <w:b w:val="0"/>
          <w:bCs w:val="0"/>
        </w:rPr>
        <w:t>The capstone project will explore the outcomes of disaster recovery in three Midwestern states in the U.S.: Illinois, Indiana, and Wisconsin.</w:t>
      </w:r>
      <w:r w:rsidRPr="00BA3EF8">
        <w:rPr>
          <w:b w:val="0"/>
          <w:bCs w:val="0"/>
        </w:rPr>
        <w:t xml:space="preserve"> </w:t>
      </w:r>
      <w:r w:rsidRPr="00BA3EF8">
        <w:rPr>
          <w:rStyle w:val="cursor-pointer"/>
          <w:b w:val="0"/>
          <w:bCs w:val="0"/>
        </w:rPr>
        <w:t>These states offer a comparatively significant selection of case studies due t</w:t>
      </w:r>
      <w:r w:rsidRPr="00BA3EF8">
        <w:rPr>
          <w:rStyle w:val="cursor-pointer"/>
          <w:b w:val="0"/>
          <w:bCs w:val="0"/>
        </w:rPr>
        <w:t>o their similarity in geographic exposure to climate-related risks, including inland flooding, tornado events related to the changing phenomena of the tornado alley</w:t>
      </w:r>
      <w:r>
        <w:rPr>
          <w:rStyle w:val="cursor-pointer"/>
          <w:b w:val="0"/>
          <w:bCs w:val="0"/>
        </w:rPr>
        <w:t>,</w:t>
      </w:r>
      <w:r w:rsidRPr="00BA3EF8">
        <w:rPr>
          <w:rStyle w:val="cursor-pointer"/>
          <w:b w:val="0"/>
          <w:bCs w:val="0"/>
        </w:rPr>
        <w:t xml:space="preserve"> and extreme cold weather conditions associated with the polar vortex phenomena.</w:t>
      </w:r>
      <w:r w:rsidRPr="00BA3EF8">
        <w:rPr>
          <w:b w:val="0"/>
          <w:bCs w:val="0"/>
        </w:rPr>
        <w:t xml:space="preserve"> </w:t>
      </w:r>
      <w:r w:rsidRPr="00BA3EF8">
        <w:rPr>
          <w:rStyle w:val="cursor-pointer"/>
          <w:b w:val="0"/>
          <w:bCs w:val="0"/>
        </w:rPr>
        <w:t>Although t</w:t>
      </w:r>
      <w:r w:rsidRPr="00BA3EF8">
        <w:rPr>
          <w:rStyle w:val="cursor-pointer"/>
          <w:b w:val="0"/>
          <w:bCs w:val="0"/>
        </w:rPr>
        <w:t xml:space="preserve">hese environmental risks are similar, the states vary in a lot of ways </w:t>
      </w:r>
      <w:r>
        <w:rPr>
          <w:rStyle w:val="cursor-pointer"/>
          <w:b w:val="0"/>
          <w:bCs w:val="0"/>
        </w:rPr>
        <w:t>about</w:t>
      </w:r>
      <w:r w:rsidRPr="00BA3EF8">
        <w:rPr>
          <w:rStyle w:val="cursor-pointer"/>
          <w:b w:val="0"/>
          <w:bCs w:val="0"/>
        </w:rPr>
        <w:t xml:space="preserve"> governance structures, administrative capacity</w:t>
      </w:r>
      <w:r>
        <w:rPr>
          <w:rStyle w:val="cursor-pointer"/>
          <w:b w:val="0"/>
          <w:bCs w:val="0"/>
        </w:rPr>
        <w:t>,</w:t>
      </w:r>
      <w:r w:rsidRPr="00BA3EF8">
        <w:rPr>
          <w:rStyle w:val="cursor-pointer"/>
          <w:b w:val="0"/>
          <w:bCs w:val="0"/>
        </w:rPr>
        <w:t xml:space="preserve"> and systems of interagency coordination</w:t>
      </w:r>
      <w:r>
        <w:rPr>
          <w:rStyle w:val="cursor-pointer"/>
          <w:b w:val="0"/>
          <w:bCs w:val="0"/>
        </w:rPr>
        <w:t>;</w:t>
      </w:r>
      <w:r w:rsidRPr="00BA3EF8">
        <w:rPr>
          <w:rStyle w:val="cursor-pointer"/>
          <w:b w:val="0"/>
          <w:bCs w:val="0"/>
        </w:rPr>
        <w:t xml:space="preserve"> therefore, they are appropriate to understand the effects of institutional variation on th</w:t>
      </w:r>
      <w:r w:rsidRPr="00BA3EF8">
        <w:rPr>
          <w:rStyle w:val="cursor-pointer"/>
          <w:b w:val="0"/>
          <w:bCs w:val="0"/>
        </w:rPr>
        <w:t>e equity of disaster recovery.</w:t>
      </w:r>
      <w:r w:rsidRPr="00BA3EF8">
        <w:rPr>
          <w:b w:val="0"/>
          <w:bCs w:val="0"/>
        </w:rPr>
        <w:t xml:space="preserve"> </w:t>
      </w:r>
      <w:r w:rsidRPr="00BA3EF8">
        <w:rPr>
          <w:rStyle w:val="cursor-pointer"/>
          <w:b w:val="0"/>
          <w:bCs w:val="0"/>
        </w:rPr>
        <w:t xml:space="preserve">This research, in its essence, explores the </w:t>
      </w:r>
      <w:r w:rsidR="00F848E4">
        <w:rPr>
          <w:rStyle w:val="cursor-pointer"/>
          <w:b w:val="0"/>
          <w:bCs w:val="0"/>
        </w:rPr>
        <w:t>role</w:t>
      </w:r>
      <w:r w:rsidRPr="00BA3EF8">
        <w:rPr>
          <w:rStyle w:val="cursor-pointer"/>
          <w:b w:val="0"/>
          <w:bCs w:val="0"/>
        </w:rPr>
        <w:t xml:space="preserve"> of governance </w:t>
      </w:r>
      <w:r w:rsidR="00F848E4">
        <w:rPr>
          <w:rStyle w:val="cursor-pointer"/>
          <w:b w:val="0"/>
          <w:bCs w:val="0"/>
        </w:rPr>
        <w:t xml:space="preserve">in </w:t>
      </w:r>
      <w:r w:rsidRPr="00BA3EF8">
        <w:rPr>
          <w:rStyle w:val="cursor-pointer"/>
          <w:b w:val="0"/>
          <w:bCs w:val="0"/>
        </w:rPr>
        <w:t>various types of hazards and administrative regimes.</w:t>
      </w:r>
      <w:r w:rsidRPr="00BA3EF8">
        <w:rPr>
          <w:b w:val="0"/>
          <w:bCs w:val="0"/>
        </w:rPr>
        <w:t xml:space="preserve"> </w:t>
      </w:r>
      <w:r w:rsidRPr="00BA3EF8">
        <w:rPr>
          <w:rStyle w:val="cursor-pointer"/>
          <w:b w:val="0"/>
          <w:bCs w:val="0"/>
        </w:rPr>
        <w:t>Federal agencies, including the Department of Homeland Security (DHS) and FEMA, have been trying to standa</w:t>
      </w:r>
      <w:r w:rsidRPr="00BA3EF8">
        <w:rPr>
          <w:rStyle w:val="cursor-pointer"/>
          <w:b w:val="0"/>
          <w:bCs w:val="0"/>
        </w:rPr>
        <w:t>rdize and coordinate the response to disasters among jurisdictions, but the ongoing disparities in recovery efforts suggest that institutional and governance differences are still critical factors determining who will recover fast and who will be left behi</w:t>
      </w:r>
      <w:r w:rsidRPr="00BA3EF8">
        <w:rPr>
          <w:rStyle w:val="cursor-pointer"/>
          <w:b w:val="0"/>
          <w:bCs w:val="0"/>
        </w:rPr>
        <w:t>nd.</w:t>
      </w:r>
      <w:r w:rsidRPr="00BA3EF8">
        <w:rPr>
          <w:b w:val="0"/>
          <w:bCs w:val="0"/>
        </w:rPr>
        <w:t xml:space="preserve"> </w:t>
      </w:r>
    </w:p>
    <w:p w14:paraId="5774FC08" w14:textId="77777777" w:rsidR="00BA3EF8" w:rsidRPr="00BA3EF8" w:rsidRDefault="00DB019C" w:rsidP="00DE7DB2">
      <w:pPr>
        <w:pStyle w:val="Heading1"/>
        <w:spacing w:line="480" w:lineRule="auto"/>
        <w:contextualSpacing/>
        <w:jc w:val="center"/>
      </w:pPr>
      <w:r w:rsidRPr="00BA3EF8">
        <w:rPr>
          <w:rStyle w:val="cursor-pointer"/>
        </w:rPr>
        <w:t>Central Research Problem</w:t>
      </w:r>
      <w:r w:rsidRPr="00BA3EF8">
        <w:t xml:space="preserve"> </w:t>
      </w:r>
    </w:p>
    <w:p w14:paraId="3DF599B8" w14:textId="77777777" w:rsidR="00085B39" w:rsidRPr="00085B39" w:rsidRDefault="00DB019C" w:rsidP="00085B39">
      <w:pPr>
        <w:pStyle w:val="Heading1"/>
        <w:spacing w:line="480" w:lineRule="auto"/>
        <w:ind w:firstLine="720"/>
        <w:contextualSpacing/>
        <w:rPr>
          <w:rStyle w:val="cursor-pointer"/>
          <w:b w:val="0"/>
          <w:bCs w:val="0"/>
        </w:rPr>
      </w:pPr>
      <w:r w:rsidRPr="00BA3EF8">
        <w:rPr>
          <w:rStyle w:val="cursor-pointer"/>
          <w:b w:val="0"/>
          <w:bCs w:val="0"/>
        </w:rPr>
        <w:t>The main issue covered in this capstone paper is the lack of consistency and fairness in the outcomes of post-disaster recovery in various state systems of governance in the United States.</w:t>
      </w:r>
      <w:r w:rsidRPr="00BA3EF8">
        <w:rPr>
          <w:b w:val="0"/>
          <w:bCs w:val="0"/>
        </w:rPr>
        <w:t xml:space="preserve"> </w:t>
      </w:r>
      <w:r w:rsidRPr="00BA3EF8">
        <w:rPr>
          <w:rStyle w:val="cursor-pointer"/>
          <w:b w:val="0"/>
          <w:bCs w:val="0"/>
        </w:rPr>
        <w:t>Even though there is a centralized f</w:t>
      </w:r>
      <w:r w:rsidRPr="00BA3EF8">
        <w:rPr>
          <w:rStyle w:val="cursor-pointer"/>
          <w:b w:val="0"/>
          <w:bCs w:val="0"/>
        </w:rPr>
        <w:t>ederal framework of disaster management, the recovery operations are not equally effective across regions.</w:t>
      </w:r>
      <w:r w:rsidRPr="00DE7DB2">
        <w:rPr>
          <w:b w:val="0"/>
        </w:rPr>
        <w:t xml:space="preserve"> </w:t>
      </w:r>
      <w:r w:rsidRPr="00BA3EF8">
        <w:rPr>
          <w:rStyle w:val="cursor-pointer"/>
          <w:b w:val="0"/>
          <w:bCs w:val="0"/>
        </w:rPr>
        <w:t>Theoretically, federal disaster governance is intended to help mitigate these disparities by providing standard funding systems, intergovernmental re</w:t>
      </w:r>
      <w:r w:rsidRPr="00BA3EF8">
        <w:rPr>
          <w:rStyle w:val="cursor-pointer"/>
          <w:b w:val="0"/>
          <w:bCs w:val="0"/>
        </w:rPr>
        <w:t>sponse systems, and allocating resources equally.</w:t>
      </w:r>
      <w:r w:rsidRPr="00BA3EF8">
        <w:rPr>
          <w:b w:val="0"/>
          <w:bCs w:val="0"/>
        </w:rPr>
        <w:t xml:space="preserve"> </w:t>
      </w:r>
      <w:r w:rsidRPr="00085B39">
        <w:rPr>
          <w:rStyle w:val="cursor-pointer"/>
          <w:b w:val="0"/>
          <w:bCs w:val="0"/>
        </w:rPr>
        <w:t xml:space="preserve">In practice, post-disaster recovery outcomes are shaped by the interaction between state-level governance capacity and </w:t>
      </w:r>
      <w:r w:rsidRPr="00085B39">
        <w:rPr>
          <w:rStyle w:val="cursor-pointer"/>
          <w:b w:val="0"/>
          <w:bCs w:val="0"/>
        </w:rPr>
        <w:lastRenderedPageBreak/>
        <w:t>local administrative performance, rather than by the severity of the hazard alone.</w:t>
      </w:r>
      <w:r>
        <w:rPr>
          <w:rStyle w:val="cursor-pointer"/>
          <w:b w:val="0"/>
          <w:bCs w:val="0"/>
        </w:rPr>
        <w:t xml:space="preserve"> Reco</w:t>
      </w:r>
      <w:r>
        <w:rPr>
          <w:rStyle w:val="cursor-pointer"/>
          <w:b w:val="0"/>
          <w:bCs w:val="0"/>
        </w:rPr>
        <w:t xml:space="preserve">very refers to </w:t>
      </w:r>
      <w:r w:rsidRPr="00085B39">
        <w:rPr>
          <w:rStyle w:val="cursor-pointer"/>
          <w:b w:val="0"/>
          <w:bCs w:val="0"/>
        </w:rPr>
        <w:t>the rehabilitation and enhancement of housing, infrastructure, livelihoods, and access to essential services (healthcare, water</w:t>
      </w:r>
      <w:r>
        <w:rPr>
          <w:rStyle w:val="cursor-pointer"/>
          <w:b w:val="0"/>
          <w:bCs w:val="0"/>
        </w:rPr>
        <w:t>,</w:t>
      </w:r>
      <w:r w:rsidRPr="00085B39">
        <w:rPr>
          <w:rStyle w:val="cursor-pointer"/>
          <w:b w:val="0"/>
          <w:bCs w:val="0"/>
        </w:rPr>
        <w:t xml:space="preserve"> and education) in areas affected by disasters. These are shaped by the effectiveness of resource mobilisation an</w:t>
      </w:r>
      <w:r w:rsidRPr="00085B39">
        <w:rPr>
          <w:rStyle w:val="cursor-pointer"/>
          <w:b w:val="0"/>
          <w:bCs w:val="0"/>
        </w:rPr>
        <w:t>d coordination between different tiers of government, such as financial, material, technical, and human resources.</w:t>
      </w:r>
    </w:p>
    <w:p w14:paraId="12170761" w14:textId="77777777" w:rsidR="00085B39" w:rsidRDefault="00DB019C" w:rsidP="00915A7D">
      <w:pPr>
        <w:pStyle w:val="Heading1"/>
        <w:spacing w:line="480" w:lineRule="auto"/>
        <w:ind w:firstLine="720"/>
        <w:contextualSpacing/>
        <w:rPr>
          <w:rStyle w:val="cursor-pointer"/>
          <w:b w:val="0"/>
          <w:bCs w:val="0"/>
        </w:rPr>
      </w:pPr>
      <w:r>
        <w:rPr>
          <w:rStyle w:val="cursor-pointer"/>
          <w:b w:val="0"/>
          <w:bCs w:val="0"/>
        </w:rPr>
        <w:t>T</w:t>
      </w:r>
      <w:r w:rsidRPr="00085B39">
        <w:rPr>
          <w:rStyle w:val="cursor-pointer"/>
          <w:b w:val="0"/>
          <w:bCs w:val="0"/>
        </w:rPr>
        <w:t>he absence of effective coordination</w:t>
      </w:r>
      <w:r>
        <w:rPr>
          <w:rStyle w:val="cursor-pointer"/>
          <w:b w:val="0"/>
          <w:bCs w:val="0"/>
        </w:rPr>
        <w:t xml:space="preserve"> among various departments is the major problem</w:t>
      </w:r>
      <w:r w:rsidRPr="00085B39">
        <w:rPr>
          <w:rStyle w:val="cursor-pointer"/>
          <w:b w:val="0"/>
          <w:bCs w:val="0"/>
        </w:rPr>
        <w:t xml:space="preserve">. Evidence indicates that overlapping </w:t>
      </w:r>
      <w:r w:rsidRPr="00085B39">
        <w:rPr>
          <w:rStyle w:val="cursor-pointer"/>
          <w:b w:val="0"/>
          <w:bCs w:val="0"/>
        </w:rPr>
        <w:t>structures, responsibilities, and authority structures slow decision-making and hinder aid delivery flows (Sydnes et al., 2025). For instance, centralised control of funding but decentralised implementation without sufficient capacity and guidance from loc</w:t>
      </w:r>
      <w:r w:rsidRPr="00085B39">
        <w:rPr>
          <w:rStyle w:val="cursor-pointer"/>
          <w:b w:val="0"/>
          <w:bCs w:val="0"/>
        </w:rPr>
        <w:t xml:space="preserve">al governments can lead to misalignments between policy and practice. Likewise, inadequate communication networks may result in </w:t>
      </w:r>
      <w:r>
        <w:rPr>
          <w:rStyle w:val="cursor-pointer"/>
          <w:b w:val="0"/>
          <w:bCs w:val="0"/>
        </w:rPr>
        <w:t>a slackening off</w:t>
      </w:r>
      <w:r w:rsidRPr="00085B39">
        <w:rPr>
          <w:rStyle w:val="cursor-pointer"/>
          <w:b w:val="0"/>
          <w:bCs w:val="0"/>
        </w:rPr>
        <w:t xml:space="preserve"> in some areas while neglecting other areas.</w:t>
      </w:r>
      <w:r w:rsidR="00915A7D">
        <w:rPr>
          <w:rStyle w:val="cursor-pointer"/>
          <w:b w:val="0"/>
          <w:bCs w:val="0"/>
        </w:rPr>
        <w:t xml:space="preserve"> </w:t>
      </w:r>
      <w:r w:rsidRPr="00085B39">
        <w:rPr>
          <w:rStyle w:val="cursor-pointer"/>
          <w:b w:val="0"/>
          <w:bCs w:val="0"/>
        </w:rPr>
        <w:t>Therefore, improvements in inter-agency coordination and local capa</w:t>
      </w:r>
      <w:r w:rsidRPr="00085B39">
        <w:rPr>
          <w:rStyle w:val="cursor-pointer"/>
          <w:b w:val="0"/>
          <w:bCs w:val="0"/>
        </w:rPr>
        <w:t>city are key to improving recovery.</w:t>
      </w:r>
    </w:p>
    <w:p w14:paraId="1882DE6C" w14:textId="77777777" w:rsidR="00BA3EF8" w:rsidRDefault="00DB019C" w:rsidP="00085B39">
      <w:pPr>
        <w:pStyle w:val="Heading1"/>
        <w:spacing w:line="480" w:lineRule="auto"/>
        <w:ind w:firstLine="720"/>
        <w:contextualSpacing/>
        <w:rPr>
          <w:b w:val="0"/>
          <w:bCs w:val="0"/>
        </w:rPr>
      </w:pPr>
      <w:r w:rsidRPr="00BA3EF8">
        <w:rPr>
          <w:rStyle w:val="cursor-pointer"/>
          <w:b w:val="0"/>
          <w:bCs w:val="0"/>
        </w:rPr>
        <w:t>This research will solve this issue by examining the role that governance structures, the institutional frameworks, legal frameworks, and administrative capacities of state governments play in distributing federal disast</w:t>
      </w:r>
      <w:r w:rsidRPr="00BA3EF8">
        <w:rPr>
          <w:rStyle w:val="cursor-pointer"/>
          <w:b w:val="0"/>
          <w:bCs w:val="0"/>
        </w:rPr>
        <w:t>er assistance and recovery outcomes.</w:t>
      </w:r>
      <w:r w:rsidRPr="00BA3EF8">
        <w:rPr>
          <w:b w:val="0"/>
          <w:bCs w:val="0"/>
        </w:rPr>
        <w:t xml:space="preserve"> </w:t>
      </w:r>
      <w:r w:rsidRPr="00BA3EF8">
        <w:rPr>
          <w:rStyle w:val="cursor-pointer"/>
          <w:b w:val="0"/>
          <w:bCs w:val="0"/>
        </w:rPr>
        <w:t>This study conceptualizes disaster recovery as a political and administrative systems outcome, rather than as a technical or environmental problem.</w:t>
      </w:r>
      <w:r w:rsidRPr="00BA3EF8">
        <w:rPr>
          <w:b w:val="0"/>
          <w:bCs w:val="0"/>
        </w:rPr>
        <w:t xml:space="preserve"> </w:t>
      </w:r>
    </w:p>
    <w:p w14:paraId="6F9B81F7" w14:textId="77777777" w:rsidR="00BA3EF8" w:rsidRPr="00BA3EF8" w:rsidRDefault="00DB019C" w:rsidP="00BA3EF8">
      <w:pPr>
        <w:pStyle w:val="Heading1"/>
        <w:spacing w:line="480" w:lineRule="auto"/>
        <w:contextualSpacing/>
      </w:pPr>
      <w:r w:rsidRPr="00BA3EF8">
        <w:rPr>
          <w:rStyle w:val="cursor-pointer"/>
        </w:rPr>
        <w:t>Reason and Importance of the Research.</w:t>
      </w:r>
      <w:r w:rsidRPr="00BA3EF8">
        <w:t xml:space="preserve"> </w:t>
      </w:r>
    </w:p>
    <w:p w14:paraId="3BD5CB6E" w14:textId="77777777" w:rsidR="0032418A" w:rsidRDefault="00DB019C" w:rsidP="00BA3EF8">
      <w:pPr>
        <w:pStyle w:val="Heading1"/>
        <w:spacing w:line="480" w:lineRule="auto"/>
        <w:ind w:firstLine="720"/>
        <w:contextualSpacing/>
        <w:rPr>
          <w:rStyle w:val="cursor-pointer"/>
          <w:b w:val="0"/>
        </w:rPr>
      </w:pPr>
      <w:r w:rsidRPr="00BA3EF8">
        <w:rPr>
          <w:rStyle w:val="cursor-pointer"/>
          <w:b w:val="0"/>
          <w:bCs w:val="0"/>
        </w:rPr>
        <w:t xml:space="preserve">Although </w:t>
      </w:r>
      <w:r w:rsidR="00B17BE5">
        <w:rPr>
          <w:rStyle w:val="cursor-pointer"/>
          <w:b w:val="0"/>
          <w:bCs w:val="0"/>
        </w:rPr>
        <w:t>much</w:t>
      </w:r>
      <w:r w:rsidRPr="00BA3EF8">
        <w:rPr>
          <w:rStyle w:val="cursor-pointer"/>
          <w:b w:val="0"/>
          <w:bCs w:val="0"/>
        </w:rPr>
        <w:t xml:space="preserve"> research has bee</w:t>
      </w:r>
      <w:r w:rsidRPr="00BA3EF8">
        <w:rPr>
          <w:rStyle w:val="cursor-pointer"/>
          <w:b w:val="0"/>
          <w:bCs w:val="0"/>
        </w:rPr>
        <w:t xml:space="preserve">n done on disaster vulnerability and hazard exposure, the impact of institutional governance structures on post-disaster recovery equity in </w:t>
      </w:r>
      <w:r w:rsidR="00B17BE5">
        <w:rPr>
          <w:rStyle w:val="cursor-pointer"/>
          <w:b w:val="0"/>
          <w:bCs w:val="0"/>
        </w:rPr>
        <w:t>different</w:t>
      </w:r>
      <w:r w:rsidRPr="00BA3EF8">
        <w:rPr>
          <w:rStyle w:val="cursor-pointer"/>
          <w:b w:val="0"/>
          <w:bCs w:val="0"/>
        </w:rPr>
        <w:t xml:space="preserve"> regions with similar hazard exposure has received less attention.</w:t>
      </w:r>
      <w:r w:rsidRPr="00BA3EF8">
        <w:rPr>
          <w:b w:val="0"/>
          <w:bCs w:val="0"/>
        </w:rPr>
        <w:t xml:space="preserve"> </w:t>
      </w:r>
      <w:r w:rsidRPr="00BA3EF8">
        <w:rPr>
          <w:rStyle w:val="cursor-pointer"/>
          <w:b w:val="0"/>
          <w:bCs w:val="0"/>
        </w:rPr>
        <w:t>This paper will help fill that gap by co</w:t>
      </w:r>
      <w:r w:rsidRPr="00BA3EF8">
        <w:rPr>
          <w:rStyle w:val="cursor-pointer"/>
          <w:b w:val="0"/>
          <w:bCs w:val="0"/>
        </w:rPr>
        <w:t>mparing three structurally similar yet institutionally different states in a systematic way.</w:t>
      </w:r>
      <w:r w:rsidRPr="00BA3EF8">
        <w:rPr>
          <w:b w:val="0"/>
          <w:bCs w:val="0"/>
        </w:rPr>
        <w:t xml:space="preserve"> </w:t>
      </w:r>
      <w:r w:rsidRPr="00BA3EF8">
        <w:rPr>
          <w:rStyle w:val="cursor-pointer"/>
          <w:b w:val="0"/>
          <w:bCs w:val="0"/>
        </w:rPr>
        <w:t xml:space="preserve">The </w:t>
      </w:r>
      <w:r w:rsidRPr="00BA3EF8">
        <w:rPr>
          <w:rStyle w:val="cursor-pointer"/>
          <w:b w:val="0"/>
          <w:bCs w:val="0"/>
        </w:rPr>
        <w:lastRenderedPageBreak/>
        <w:t xml:space="preserve">Department of Homeland Security and FEMA have done </w:t>
      </w:r>
      <w:r w:rsidR="00B17BE5">
        <w:rPr>
          <w:rStyle w:val="cursor-pointer"/>
          <w:b w:val="0"/>
          <w:bCs w:val="0"/>
        </w:rPr>
        <w:t xml:space="preserve">much </w:t>
      </w:r>
      <w:r w:rsidRPr="00BA3EF8">
        <w:rPr>
          <w:rStyle w:val="cursor-pointer"/>
          <w:b w:val="0"/>
          <w:bCs w:val="0"/>
        </w:rPr>
        <w:t>work to enhance interagency coordination and</w:t>
      </w:r>
      <w:r w:rsidR="00B17BE5">
        <w:rPr>
          <w:rStyle w:val="cursor-pointer"/>
          <w:b w:val="0"/>
          <w:bCs w:val="0"/>
        </w:rPr>
        <w:t xml:space="preserve"> </w:t>
      </w:r>
      <w:r w:rsidRPr="00BA3EF8">
        <w:rPr>
          <w:rStyle w:val="cursor-pointer"/>
          <w:b w:val="0"/>
          <w:bCs w:val="0"/>
        </w:rPr>
        <w:t>streamline the disaster response systems.</w:t>
      </w:r>
      <w:r w:rsidRPr="00BA3EF8">
        <w:rPr>
          <w:b w:val="0"/>
          <w:bCs w:val="0"/>
        </w:rPr>
        <w:t xml:space="preserve"> </w:t>
      </w:r>
      <w:r w:rsidRPr="00BA3EF8">
        <w:rPr>
          <w:rStyle w:val="cursor-pointer"/>
          <w:b w:val="0"/>
          <w:bCs w:val="0"/>
        </w:rPr>
        <w:t>Nonetheless, iss</w:t>
      </w:r>
      <w:r w:rsidRPr="00BA3EF8">
        <w:rPr>
          <w:rStyle w:val="cursor-pointer"/>
          <w:b w:val="0"/>
          <w:bCs w:val="0"/>
        </w:rPr>
        <w:t>ues of coordination continue to be experienced at federal, state, and local government levels.</w:t>
      </w:r>
      <w:r w:rsidRPr="00BA3EF8">
        <w:rPr>
          <w:b w:val="0"/>
          <w:bCs w:val="0"/>
        </w:rPr>
        <w:t xml:space="preserve"> </w:t>
      </w:r>
      <w:r w:rsidRPr="00BA3EF8">
        <w:rPr>
          <w:rStyle w:val="cursor-pointer"/>
          <w:b w:val="0"/>
          <w:bCs w:val="0"/>
        </w:rPr>
        <w:t xml:space="preserve">These problems are usually evidenced by slow approvals, bureaucratic inefficiencies, and irregular </w:t>
      </w:r>
      <w:r>
        <w:rPr>
          <w:rStyle w:val="cursor-pointer"/>
          <w:b w:val="0"/>
          <w:bCs w:val="0"/>
        </w:rPr>
        <w:t>implementation of recovery programs</w:t>
      </w:r>
      <w:r w:rsidR="00B17BE5">
        <w:rPr>
          <w:rStyle w:val="cursor-pointer"/>
          <w:b w:val="0"/>
          <w:bCs w:val="0"/>
        </w:rPr>
        <w:t xml:space="preserve"> </w:t>
      </w:r>
      <w:r w:rsidR="0033183A" w:rsidRPr="0033183A">
        <w:rPr>
          <w:rStyle w:val="cursor-pointer"/>
          <w:b w:val="0"/>
          <w:bCs w:val="0"/>
        </w:rPr>
        <w:t>(Yang et al., 2023)</w:t>
      </w:r>
      <w:r w:rsidR="0033183A">
        <w:rPr>
          <w:rStyle w:val="cursor-pointer"/>
          <w:b w:val="0"/>
          <w:bCs w:val="0"/>
        </w:rPr>
        <w:t xml:space="preserve">. </w:t>
      </w:r>
      <w:r w:rsidR="00874472" w:rsidRPr="00874472">
        <w:rPr>
          <w:rStyle w:val="cursor-pointer"/>
          <w:b w:val="0"/>
          <w:bCs w:val="0"/>
        </w:rPr>
        <w:t>The rollout of assistance aimed at helping individuals recover (e.g., mental health services, small business loans) has also been inconsistent, adding to the inequity in recovery efforts.</w:t>
      </w:r>
      <w:r w:rsidR="00874472">
        <w:rPr>
          <w:rStyle w:val="cursor-pointer"/>
          <w:b w:val="0"/>
          <w:bCs w:val="0"/>
        </w:rPr>
        <w:t xml:space="preserve"> </w:t>
      </w:r>
      <w:r w:rsidRPr="00BA3EF8">
        <w:rPr>
          <w:rStyle w:val="cursor-pointer"/>
          <w:b w:val="0"/>
          <w:bCs w:val="0"/>
        </w:rPr>
        <w:t>These inefficiencies may massively postpone the provision of housing serv</w:t>
      </w:r>
      <w:r w:rsidRPr="00BA3EF8">
        <w:rPr>
          <w:rStyle w:val="cursor-pointer"/>
          <w:b w:val="0"/>
          <w:bCs w:val="0"/>
        </w:rPr>
        <w:t>ices, infrastructure reconstruction, and personal recovery support services</w:t>
      </w:r>
      <w:r w:rsidR="00B17BE5">
        <w:rPr>
          <w:rStyle w:val="cursor-pointer"/>
          <w:b w:val="0"/>
          <w:bCs w:val="0"/>
        </w:rPr>
        <w:t>.</w:t>
      </w:r>
      <w:r w:rsidR="00B17BE5" w:rsidRPr="00DE7DB2">
        <w:rPr>
          <w:rStyle w:val="cursor-pointer"/>
          <w:b w:val="0"/>
        </w:rPr>
        <w:t xml:space="preserve"> </w:t>
      </w:r>
    </w:p>
    <w:p w14:paraId="13EA079E" w14:textId="77777777" w:rsidR="00874472" w:rsidRDefault="00DB019C" w:rsidP="0033183A">
      <w:pPr>
        <w:pStyle w:val="Heading1"/>
        <w:spacing w:line="480" w:lineRule="auto"/>
        <w:ind w:firstLine="720"/>
        <w:contextualSpacing/>
        <w:rPr>
          <w:rStyle w:val="cursor-pointer"/>
          <w:b w:val="0"/>
          <w:bCs w:val="0"/>
        </w:rPr>
      </w:pPr>
      <w:r w:rsidRPr="00874472">
        <w:rPr>
          <w:rStyle w:val="cursor-pointer"/>
          <w:b w:val="0"/>
          <w:bCs w:val="0"/>
        </w:rPr>
        <w:t>Climate variability has increased the intensity and frequency of hazards in the U.S. Midwest since 2020, stretching disaster preparedness, response</w:t>
      </w:r>
      <w:r w:rsidR="0033183A">
        <w:rPr>
          <w:rStyle w:val="cursor-pointer"/>
          <w:b w:val="0"/>
          <w:bCs w:val="0"/>
        </w:rPr>
        <w:t>,</w:t>
      </w:r>
      <w:r w:rsidRPr="00874472">
        <w:rPr>
          <w:rStyle w:val="cursor-pointer"/>
          <w:b w:val="0"/>
          <w:bCs w:val="0"/>
        </w:rPr>
        <w:t xml:space="preserve"> and recovery efforts. The 2020 Midwest Derecho is one such event, featuring hurricane-force winds that wreaked havoc across power grids, agriculture, and homes, notably in Iowa, leaving some residents without electricity for weeks</w:t>
      </w:r>
      <w:r w:rsidR="0033183A">
        <w:rPr>
          <w:rStyle w:val="cursor-pointer"/>
          <w:b w:val="0"/>
          <w:bCs w:val="0"/>
        </w:rPr>
        <w:t xml:space="preserve"> </w:t>
      </w:r>
      <w:r w:rsidR="0033183A" w:rsidRPr="0033183A">
        <w:rPr>
          <w:rStyle w:val="cursor-pointer"/>
          <w:b w:val="0"/>
          <w:bCs w:val="0"/>
        </w:rPr>
        <w:t>(Chad, 2021)</w:t>
      </w:r>
      <w:r w:rsidRPr="00874472">
        <w:rPr>
          <w:rStyle w:val="cursor-pointer"/>
          <w:b w:val="0"/>
          <w:bCs w:val="0"/>
        </w:rPr>
        <w:t>.</w:t>
      </w:r>
      <w:r w:rsidR="0033183A">
        <w:rPr>
          <w:rStyle w:val="cursor-pointer"/>
          <w:b w:val="0"/>
          <w:bCs w:val="0"/>
        </w:rPr>
        <w:t xml:space="preserve"> </w:t>
      </w:r>
      <w:r w:rsidRPr="00874472">
        <w:rPr>
          <w:rStyle w:val="cursor-pointer"/>
          <w:b w:val="0"/>
          <w:bCs w:val="0"/>
        </w:rPr>
        <w:t>Other even</w:t>
      </w:r>
      <w:r w:rsidRPr="00874472">
        <w:rPr>
          <w:rStyle w:val="cursor-pointer"/>
          <w:b w:val="0"/>
          <w:bCs w:val="0"/>
        </w:rPr>
        <w:t>ts include ongoing and compound hazards. Flooding along the Mississippi River basin (especially in states such as Missouri, Illinois, and Iowa) has also been frequent due to increased precipitation and shifting seasons. These events not only cause property</w:t>
      </w:r>
      <w:r w:rsidRPr="00874472">
        <w:rPr>
          <w:rStyle w:val="cursor-pointer"/>
          <w:b w:val="0"/>
          <w:bCs w:val="0"/>
        </w:rPr>
        <w:t xml:space="preserve"> damage and destruction, but also complicate agricultural production - a cornerstone of the Midwest economy</w:t>
      </w:r>
      <w:r w:rsidR="0033183A">
        <w:rPr>
          <w:rStyle w:val="cursor-pointer"/>
          <w:b w:val="0"/>
          <w:bCs w:val="0"/>
        </w:rPr>
        <w:t xml:space="preserve"> </w:t>
      </w:r>
      <w:r w:rsidR="0033183A" w:rsidRPr="0033183A">
        <w:rPr>
          <w:rStyle w:val="cursor-pointer"/>
          <w:b w:val="0"/>
          <w:bCs w:val="0"/>
        </w:rPr>
        <w:t>(R. Eugene Turner, 2022)</w:t>
      </w:r>
      <w:r w:rsidRPr="00874472">
        <w:rPr>
          <w:rStyle w:val="cursor-pointer"/>
          <w:b w:val="0"/>
          <w:bCs w:val="0"/>
        </w:rPr>
        <w:t>. Meanwhile, shifts in tornado activity (including when, where, and with what intensity) have led to greater ambiguity for d</w:t>
      </w:r>
      <w:r w:rsidRPr="00874472">
        <w:rPr>
          <w:rStyle w:val="cursor-pointer"/>
          <w:b w:val="0"/>
          <w:bCs w:val="0"/>
        </w:rPr>
        <w:t>isaster managers.</w:t>
      </w:r>
      <w:r w:rsidR="0033183A">
        <w:rPr>
          <w:rStyle w:val="cursor-pointer"/>
          <w:b w:val="0"/>
          <w:bCs w:val="0"/>
        </w:rPr>
        <w:t xml:space="preserve"> </w:t>
      </w:r>
      <w:r w:rsidRPr="00874472">
        <w:rPr>
          <w:rStyle w:val="cursor-pointer"/>
          <w:b w:val="0"/>
          <w:bCs w:val="0"/>
        </w:rPr>
        <w:t>Convective storms, which produce hail, wind, and rainfall, have also increased in frequency, leading to repeated damage and creating a build-up of risk. These recurrent impacts undermine community resilience as locations are recovering an</w:t>
      </w:r>
      <w:r w:rsidRPr="00874472">
        <w:rPr>
          <w:rStyle w:val="cursor-pointer"/>
          <w:b w:val="0"/>
          <w:bCs w:val="0"/>
        </w:rPr>
        <w:t xml:space="preserve">d preparing for future disasters. Overall, the shift in hazards suggests that disasters in the Midwest are no longer one-off events </w:t>
      </w:r>
      <w:r w:rsidRPr="00874472">
        <w:rPr>
          <w:rStyle w:val="cursor-pointer"/>
          <w:b w:val="0"/>
          <w:bCs w:val="0"/>
        </w:rPr>
        <w:lastRenderedPageBreak/>
        <w:t>but have become cyclical; increasing the need for flexible, coordinated, and equitable recovery responses that are capable o</w:t>
      </w:r>
      <w:r w:rsidRPr="00874472">
        <w:rPr>
          <w:rStyle w:val="cursor-pointer"/>
          <w:b w:val="0"/>
          <w:bCs w:val="0"/>
        </w:rPr>
        <w:t>f responding to immediate damage and cumulative vulnerability.</w:t>
      </w:r>
    </w:p>
    <w:p w14:paraId="1432E4E9" w14:textId="77777777" w:rsidR="00BA3EF8" w:rsidRDefault="00DB019C" w:rsidP="00874472">
      <w:pPr>
        <w:pStyle w:val="Heading1"/>
        <w:spacing w:line="480" w:lineRule="auto"/>
        <w:ind w:firstLine="720"/>
        <w:contextualSpacing/>
        <w:rPr>
          <w:rStyle w:val="cursor-pointer"/>
          <w:b w:val="0"/>
          <w:bCs w:val="0"/>
        </w:rPr>
      </w:pPr>
      <w:r w:rsidRPr="00BA3EF8">
        <w:rPr>
          <w:rStyle w:val="cursor-pointer"/>
          <w:b w:val="0"/>
          <w:bCs w:val="0"/>
        </w:rPr>
        <w:t>The role of governance systems in recovery outcomes is thus critical to study as well as policy formulation and institutional change.</w:t>
      </w:r>
      <w:r w:rsidRPr="00BA3EF8">
        <w:rPr>
          <w:b w:val="0"/>
          <w:bCs w:val="0"/>
        </w:rPr>
        <w:t xml:space="preserve"> </w:t>
      </w:r>
      <w:r w:rsidRPr="00BA3EF8">
        <w:rPr>
          <w:rStyle w:val="cursor-pointer"/>
          <w:b w:val="0"/>
          <w:bCs w:val="0"/>
        </w:rPr>
        <w:t xml:space="preserve">This study offers a controlled comparative </w:t>
      </w:r>
      <w:r w:rsidRPr="00BA3EF8">
        <w:rPr>
          <w:rStyle w:val="cursor-pointer"/>
          <w:b w:val="0"/>
          <w:bCs w:val="0"/>
        </w:rPr>
        <w:t>framework by concentrating on Illinois, Indiana, and Wisconsin</w:t>
      </w:r>
      <w:r>
        <w:rPr>
          <w:rStyle w:val="cursor-pointer"/>
          <w:b w:val="0"/>
          <w:bCs w:val="0"/>
        </w:rPr>
        <w:t>, where</w:t>
      </w:r>
      <w:r w:rsidRPr="00BA3EF8">
        <w:rPr>
          <w:rStyle w:val="cursor-pointer"/>
          <w:b w:val="0"/>
          <w:bCs w:val="0"/>
        </w:rPr>
        <w:t xml:space="preserve"> there is a relative similarity in environmental exposure, but there is a difference in the governance structures.</w:t>
      </w:r>
      <w:r w:rsidRPr="00BA3EF8">
        <w:rPr>
          <w:b w:val="0"/>
          <w:bCs w:val="0"/>
        </w:rPr>
        <w:t xml:space="preserve"> </w:t>
      </w:r>
      <w:r w:rsidRPr="00BA3EF8">
        <w:rPr>
          <w:rStyle w:val="cursor-pointer"/>
          <w:b w:val="0"/>
          <w:bCs w:val="0"/>
        </w:rPr>
        <w:t>This enables the analysis to separate governance as an explanatory varia</w:t>
      </w:r>
      <w:r w:rsidRPr="00BA3EF8">
        <w:rPr>
          <w:rStyle w:val="cursor-pointer"/>
          <w:b w:val="0"/>
          <w:bCs w:val="0"/>
        </w:rPr>
        <w:t>ble in determining the outcome of recovery equity.</w:t>
      </w:r>
    </w:p>
    <w:p w14:paraId="7F846E12" w14:textId="77777777" w:rsidR="00A74868" w:rsidRDefault="00DB019C" w:rsidP="00A74868">
      <w:pPr>
        <w:pStyle w:val="NormalWeb"/>
        <w:spacing w:line="480" w:lineRule="auto"/>
      </w:pPr>
      <w:r>
        <w:rPr>
          <w:b/>
          <w:bCs/>
        </w:rPr>
        <w:t>Primary Research Question:</w:t>
      </w:r>
    </w:p>
    <w:p w14:paraId="167FA7EC" w14:textId="77777777" w:rsidR="00A74868" w:rsidRDefault="00DB019C" w:rsidP="00A74868">
      <w:pPr>
        <w:pStyle w:val="NormalWeb"/>
        <w:widowControl w:val="0"/>
        <w:autoSpaceDE w:val="0"/>
        <w:autoSpaceDN w:val="0"/>
        <w:spacing w:before="0" w:beforeAutospacing="0" w:after="0" w:afterAutospacing="0" w:line="480" w:lineRule="auto"/>
      </w:pPr>
      <w:r>
        <w:t>To what extent do governance context and interagency coordination effectiveness influence equitable disaster recovery outcomes across red, blue, and purple states?</w:t>
      </w:r>
    </w:p>
    <w:p w14:paraId="3A59B41E" w14:textId="77777777" w:rsidR="00A74868" w:rsidRDefault="00DB019C" w:rsidP="0032418A">
      <w:pPr>
        <w:pStyle w:val="NormalWeb"/>
        <w:widowControl w:val="0"/>
        <w:autoSpaceDE w:val="0"/>
        <w:autoSpaceDN w:val="0"/>
        <w:spacing w:before="0" w:beforeAutospacing="0" w:after="0" w:afterAutospacing="0" w:line="480" w:lineRule="auto"/>
        <w:ind w:firstLine="720"/>
        <w:rPr>
          <w:rStyle w:val="cursor-pointer"/>
        </w:rPr>
      </w:pPr>
      <w:r w:rsidRPr="00A74868">
        <w:rPr>
          <w:rStyle w:val="cursor-pointer"/>
        </w:rPr>
        <w:t xml:space="preserve">Governance </w:t>
      </w:r>
      <w:r>
        <w:rPr>
          <w:rStyle w:val="cursor-pointer"/>
        </w:rPr>
        <w:t>set</w:t>
      </w:r>
      <w:r>
        <w:rPr>
          <w:rStyle w:val="cursor-pointer"/>
        </w:rPr>
        <w:t>tings</w:t>
      </w:r>
      <w:r w:rsidRPr="00A74868">
        <w:rPr>
          <w:rStyle w:val="cursor-pointer"/>
        </w:rPr>
        <w:t xml:space="preserve"> and interagency coordination significantly affect the fairness of disaster recovery results; they often have a greater effect than party affiliation alone. </w:t>
      </w:r>
      <w:r w:rsidR="00915A7D">
        <w:rPr>
          <w:rStyle w:val="cursor-pointer"/>
        </w:rPr>
        <w:t xml:space="preserve">FEMA </w:t>
      </w:r>
      <w:r w:rsidRPr="00A74868">
        <w:rPr>
          <w:rStyle w:val="cursor-pointer"/>
        </w:rPr>
        <w:t>and other similar agencies have shown that states with greater institutional capacity and</w:t>
      </w:r>
      <w:r w:rsidRPr="00A74868">
        <w:rPr>
          <w:rStyle w:val="cursor-pointer"/>
        </w:rPr>
        <w:t xml:space="preserve"> coordination between their agencies experience faster recovery that is more equitable. However, </w:t>
      </w:r>
      <w:r>
        <w:rPr>
          <w:rStyle w:val="cursor-pointer"/>
        </w:rPr>
        <w:t>there may also</w:t>
      </w:r>
      <w:r w:rsidRPr="00A74868">
        <w:rPr>
          <w:rStyle w:val="cursor-pointer"/>
        </w:rPr>
        <w:t xml:space="preserve"> be </w:t>
      </w:r>
      <w:r>
        <w:rPr>
          <w:rStyle w:val="cursor-pointer"/>
        </w:rPr>
        <w:t xml:space="preserve">an </w:t>
      </w:r>
      <w:r w:rsidRPr="00A74868">
        <w:rPr>
          <w:rStyle w:val="cursor-pointer"/>
        </w:rPr>
        <w:t xml:space="preserve">indirect influence of the political differences (red/blue/purple) on policy priorities, distribution of resources, and the consistency of </w:t>
      </w:r>
      <w:r w:rsidRPr="00A74868">
        <w:rPr>
          <w:rStyle w:val="cursor-pointer"/>
        </w:rPr>
        <w:t>application.</w:t>
      </w:r>
    </w:p>
    <w:p w14:paraId="1E5FC342" w14:textId="77777777" w:rsidR="0033183A" w:rsidRDefault="00DB019C" w:rsidP="0033183A">
      <w:pPr>
        <w:pStyle w:val="NormalWeb"/>
        <w:widowControl w:val="0"/>
        <w:autoSpaceDE w:val="0"/>
        <w:autoSpaceDN w:val="0"/>
        <w:spacing w:before="0" w:beforeAutospacing="0" w:after="0" w:afterAutospacing="0" w:line="480" w:lineRule="auto"/>
        <w:rPr>
          <w:b/>
        </w:rPr>
      </w:pPr>
      <w:r w:rsidRPr="00DE7DB2">
        <w:rPr>
          <w:rStyle w:val="cursor-pointer"/>
          <w:b/>
        </w:rPr>
        <w:t>Sub-Research Question and Analysis Focus.</w:t>
      </w:r>
      <w:r w:rsidRPr="00DE7DB2">
        <w:rPr>
          <w:b/>
        </w:rPr>
        <w:t xml:space="preserve"> </w:t>
      </w:r>
    </w:p>
    <w:p w14:paraId="5AD28514" w14:textId="77777777" w:rsidR="00BA3EF8" w:rsidRPr="0033183A" w:rsidRDefault="00DB019C" w:rsidP="0033183A">
      <w:pPr>
        <w:pStyle w:val="NormalWeb"/>
        <w:widowControl w:val="0"/>
        <w:autoSpaceDE w:val="0"/>
        <w:autoSpaceDN w:val="0"/>
        <w:spacing w:before="0" w:beforeAutospacing="0" w:after="0" w:afterAutospacing="0" w:line="480" w:lineRule="auto"/>
        <w:ind w:firstLine="720"/>
        <w:rPr>
          <w:b/>
        </w:rPr>
      </w:pPr>
      <w:r w:rsidRPr="00BA3EF8">
        <w:rPr>
          <w:rStyle w:val="cursor-pointer"/>
        </w:rPr>
        <w:t>This study is informed by three interrelated sub-research questions</w:t>
      </w:r>
      <w:r>
        <w:rPr>
          <w:rStyle w:val="cursor-pointer"/>
        </w:rPr>
        <w:t>,</w:t>
      </w:r>
      <w:r w:rsidRPr="00BA3EF8">
        <w:rPr>
          <w:rStyle w:val="cursor-pointer"/>
        </w:rPr>
        <w:t xml:space="preserve"> which help in systematically tackling the central research problem.</w:t>
      </w:r>
      <w:r w:rsidRPr="00BA3EF8">
        <w:t xml:space="preserve"> </w:t>
      </w:r>
      <w:r w:rsidRPr="00BA3EF8">
        <w:rPr>
          <w:rStyle w:val="cursor-pointer"/>
        </w:rPr>
        <w:t>The former sub-research question looks at how governance struct</w:t>
      </w:r>
      <w:r w:rsidRPr="00BA3EF8">
        <w:rPr>
          <w:rStyle w:val="cursor-pointer"/>
        </w:rPr>
        <w:t>ure is related to how federal disaster assistance is distributed between socio-economic groups:</w:t>
      </w:r>
      <w:r w:rsidRPr="00BA3EF8">
        <w:t xml:space="preserve"> </w:t>
      </w:r>
    </w:p>
    <w:p w14:paraId="594842C1" w14:textId="77777777" w:rsidR="00BA3EF8" w:rsidRDefault="00DB019C" w:rsidP="00BA3EF8">
      <w:pPr>
        <w:pStyle w:val="Heading1"/>
        <w:numPr>
          <w:ilvl w:val="0"/>
          <w:numId w:val="2"/>
        </w:numPr>
        <w:spacing w:line="480" w:lineRule="auto"/>
        <w:contextualSpacing/>
        <w:rPr>
          <w:b w:val="0"/>
          <w:bCs w:val="0"/>
        </w:rPr>
      </w:pPr>
      <w:r w:rsidRPr="00BA3EF8">
        <w:rPr>
          <w:rStyle w:val="cursor-pointer"/>
          <w:b w:val="0"/>
          <w:bCs w:val="0"/>
        </w:rPr>
        <w:lastRenderedPageBreak/>
        <w:t xml:space="preserve">What is the impact of the governance structure of Illinois, Indiana, and Wisconsin on </w:t>
      </w:r>
      <w:r>
        <w:rPr>
          <w:rStyle w:val="cursor-pointer"/>
          <w:b w:val="0"/>
          <w:bCs w:val="0"/>
        </w:rPr>
        <w:t xml:space="preserve">the </w:t>
      </w:r>
      <w:r w:rsidRPr="00BA3EF8">
        <w:rPr>
          <w:rStyle w:val="cursor-pointer"/>
          <w:b w:val="0"/>
          <w:bCs w:val="0"/>
        </w:rPr>
        <w:t xml:space="preserve">distribution of federal disaster aid among various </w:t>
      </w:r>
      <w:r w:rsidRPr="00BA3EF8">
        <w:rPr>
          <w:rStyle w:val="cursor-pointer"/>
          <w:b w:val="0"/>
          <w:bCs w:val="0"/>
        </w:rPr>
        <w:t>socio-economic groups?</w:t>
      </w:r>
      <w:r w:rsidRPr="00BA3EF8">
        <w:rPr>
          <w:b w:val="0"/>
          <w:bCs w:val="0"/>
        </w:rPr>
        <w:t xml:space="preserve"> </w:t>
      </w:r>
    </w:p>
    <w:p w14:paraId="4435D4EF" w14:textId="77777777" w:rsidR="00B17BE5" w:rsidRDefault="00DB019C" w:rsidP="00BA3EF8">
      <w:pPr>
        <w:pStyle w:val="Heading1"/>
        <w:spacing w:line="480" w:lineRule="auto"/>
        <w:ind w:firstLine="720"/>
        <w:contextualSpacing/>
        <w:rPr>
          <w:b w:val="0"/>
          <w:bCs w:val="0"/>
        </w:rPr>
      </w:pPr>
      <w:r w:rsidRPr="00BA3EF8">
        <w:rPr>
          <w:rStyle w:val="cursor-pointer"/>
          <w:b w:val="0"/>
          <w:bCs w:val="0"/>
        </w:rPr>
        <w:t xml:space="preserve">This question aims </w:t>
      </w:r>
      <w:r w:rsidR="00546CE3">
        <w:rPr>
          <w:rStyle w:val="cursor-pointer"/>
          <w:b w:val="0"/>
          <w:bCs w:val="0"/>
        </w:rPr>
        <w:t xml:space="preserve">to identify </w:t>
      </w:r>
      <w:r w:rsidRPr="00BA3EF8">
        <w:rPr>
          <w:rStyle w:val="cursor-pointer"/>
          <w:b w:val="0"/>
          <w:bCs w:val="0"/>
        </w:rPr>
        <w:t>whether some institutional forms of governance are more conducive to equal distribution or whether institutional inefficiencies contribute to disparities in access to disaster relief.</w:t>
      </w:r>
      <w:r w:rsidRPr="00BA3EF8">
        <w:rPr>
          <w:b w:val="0"/>
          <w:bCs w:val="0"/>
        </w:rPr>
        <w:t xml:space="preserve"> </w:t>
      </w:r>
    </w:p>
    <w:p w14:paraId="6036A119" w14:textId="77777777" w:rsidR="00BA3EF8" w:rsidRDefault="00DB019C" w:rsidP="00BA3EF8">
      <w:pPr>
        <w:pStyle w:val="Heading1"/>
        <w:spacing w:line="480" w:lineRule="auto"/>
        <w:ind w:firstLine="720"/>
        <w:contextualSpacing/>
        <w:rPr>
          <w:b w:val="0"/>
          <w:bCs w:val="0"/>
        </w:rPr>
      </w:pPr>
      <w:r w:rsidRPr="00BA3EF8">
        <w:rPr>
          <w:rStyle w:val="cursor-pointer"/>
          <w:b w:val="0"/>
          <w:bCs w:val="0"/>
        </w:rPr>
        <w:t>The second sub-r</w:t>
      </w:r>
      <w:r w:rsidRPr="00BA3EF8">
        <w:rPr>
          <w:rStyle w:val="cursor-pointer"/>
          <w:b w:val="0"/>
          <w:bCs w:val="0"/>
        </w:rPr>
        <w:t>esearch question is concerned with the interagency coordination mechanisms to develop recovery timelines</w:t>
      </w:r>
      <w:r w:rsidR="00B17BE5">
        <w:rPr>
          <w:rStyle w:val="cursor-pointer"/>
          <w:b w:val="0"/>
          <w:bCs w:val="0"/>
        </w:rPr>
        <w:t>.</w:t>
      </w:r>
    </w:p>
    <w:p w14:paraId="2ACF38D7" w14:textId="77777777" w:rsidR="00BA3EF8" w:rsidRDefault="00DB019C" w:rsidP="00BA3EF8">
      <w:pPr>
        <w:pStyle w:val="Heading1"/>
        <w:spacing w:line="480" w:lineRule="auto"/>
        <w:ind w:firstLine="720"/>
        <w:contextualSpacing/>
        <w:rPr>
          <w:b w:val="0"/>
          <w:bCs w:val="0"/>
        </w:rPr>
      </w:pPr>
      <w:r w:rsidRPr="00BA3EF8">
        <w:rPr>
          <w:rStyle w:val="cursor-pointer"/>
          <w:b w:val="0"/>
          <w:bCs w:val="0"/>
        </w:rPr>
        <w:t>2. What is the relationship between the mechanisms of interagency coordination in Illinois, Indiana, and Wisconsin, as demonstrated by after-action re</w:t>
      </w:r>
      <w:r w:rsidRPr="00BA3EF8">
        <w:rPr>
          <w:rStyle w:val="cursor-pointer"/>
          <w:b w:val="0"/>
          <w:bCs w:val="0"/>
        </w:rPr>
        <w:t>ports and findings of federal audits</w:t>
      </w:r>
      <w:r>
        <w:rPr>
          <w:rStyle w:val="cursor-pointer"/>
          <w:b w:val="0"/>
          <w:bCs w:val="0"/>
        </w:rPr>
        <w:t>,</w:t>
      </w:r>
      <w:r w:rsidRPr="00BA3EF8">
        <w:rPr>
          <w:rStyle w:val="cursor-pointer"/>
          <w:b w:val="0"/>
          <w:bCs w:val="0"/>
        </w:rPr>
        <w:t xml:space="preserve"> and differences in recovery timelines after inland flooding, tornadoes, and polar vortexes?</w:t>
      </w:r>
    </w:p>
    <w:p w14:paraId="6AC45423" w14:textId="77777777" w:rsidR="00A74868" w:rsidRPr="00DE7DB2" w:rsidRDefault="00DB019C" w:rsidP="00A74868">
      <w:pPr>
        <w:pStyle w:val="Heading1"/>
        <w:spacing w:line="480" w:lineRule="auto"/>
        <w:ind w:firstLine="720"/>
        <w:contextualSpacing/>
        <w:rPr>
          <w:b w:val="0"/>
        </w:rPr>
      </w:pPr>
      <w:r w:rsidRPr="00BA3EF8">
        <w:rPr>
          <w:rStyle w:val="cursor-pointer"/>
          <w:b w:val="0"/>
          <w:bCs w:val="0"/>
        </w:rPr>
        <w:t>This question deals with procedural equity, especially speed and efficiency of recoveries.</w:t>
      </w:r>
      <w:r w:rsidRPr="00BA3EF8">
        <w:rPr>
          <w:b w:val="0"/>
          <w:bCs w:val="0"/>
        </w:rPr>
        <w:t xml:space="preserve"> </w:t>
      </w:r>
      <w:r w:rsidRPr="00BA3EF8">
        <w:rPr>
          <w:rStyle w:val="cursor-pointer"/>
          <w:b w:val="0"/>
          <w:bCs w:val="0"/>
        </w:rPr>
        <w:t>It looks at how better coordination</w:t>
      </w:r>
      <w:r w:rsidRPr="00BA3EF8">
        <w:rPr>
          <w:rStyle w:val="cursor-pointer"/>
          <w:b w:val="0"/>
          <w:bCs w:val="0"/>
        </w:rPr>
        <w:t xml:space="preserve"> between the agencies results in quicker recovery</w:t>
      </w:r>
      <w:r>
        <w:rPr>
          <w:rStyle w:val="cursor-pointer"/>
          <w:b w:val="0"/>
          <w:bCs w:val="0"/>
        </w:rPr>
        <w:t>,</w:t>
      </w:r>
      <w:r w:rsidRPr="00BA3EF8">
        <w:rPr>
          <w:rStyle w:val="cursor-pointer"/>
          <w:b w:val="0"/>
          <w:bCs w:val="0"/>
        </w:rPr>
        <w:t xml:space="preserve"> and governance fragmentation is associated with delays.</w:t>
      </w:r>
      <w:r w:rsidRPr="00BA3EF8">
        <w:rPr>
          <w:b w:val="0"/>
          <w:bCs w:val="0"/>
        </w:rPr>
        <w:t xml:space="preserve"> </w:t>
      </w:r>
      <w:r w:rsidRPr="00BA3EF8">
        <w:rPr>
          <w:rStyle w:val="cursor-pointer"/>
          <w:b w:val="0"/>
          <w:bCs w:val="0"/>
        </w:rPr>
        <w:t>It also includes hazard type as a moderating variable, noting that varying demands of institutional coordination systems might arise depending on the</w:t>
      </w:r>
      <w:r w:rsidRPr="00BA3EF8">
        <w:rPr>
          <w:rStyle w:val="cursor-pointer"/>
          <w:b w:val="0"/>
          <w:bCs w:val="0"/>
        </w:rPr>
        <w:t xml:space="preserve"> type of disaster.</w:t>
      </w:r>
      <w:r w:rsidRPr="00BA3EF8">
        <w:rPr>
          <w:b w:val="0"/>
          <w:bCs w:val="0"/>
        </w:rPr>
        <w:t xml:space="preserve"> </w:t>
      </w:r>
      <w:r w:rsidRPr="00BA3EF8">
        <w:rPr>
          <w:rStyle w:val="cursor-pointer"/>
          <w:b w:val="0"/>
          <w:bCs w:val="0"/>
        </w:rPr>
        <w:t xml:space="preserve">This sub-question is especially crucial since disaster recovery not only </w:t>
      </w:r>
      <w:r>
        <w:rPr>
          <w:rStyle w:val="cursor-pointer"/>
          <w:b w:val="0"/>
          <w:bCs w:val="0"/>
        </w:rPr>
        <w:t>depends</w:t>
      </w:r>
      <w:r w:rsidRPr="00BA3EF8">
        <w:rPr>
          <w:rStyle w:val="cursor-pointer"/>
          <w:b w:val="0"/>
          <w:bCs w:val="0"/>
        </w:rPr>
        <w:t xml:space="preserve"> on the availability of resources, but also on the effectiveness of institutions in coordinating the process of crisis response and recovery.</w:t>
      </w:r>
      <w:r w:rsidRPr="00BA3EF8">
        <w:rPr>
          <w:b w:val="0"/>
          <w:bCs w:val="0"/>
        </w:rPr>
        <w:t xml:space="preserve"> </w:t>
      </w:r>
      <w:r w:rsidRPr="00BA3EF8">
        <w:rPr>
          <w:rStyle w:val="cursor-pointer"/>
          <w:b w:val="0"/>
          <w:bCs w:val="0"/>
        </w:rPr>
        <w:t>Lack of coordin</w:t>
      </w:r>
      <w:r w:rsidRPr="00BA3EF8">
        <w:rPr>
          <w:rStyle w:val="cursor-pointer"/>
          <w:b w:val="0"/>
          <w:bCs w:val="0"/>
        </w:rPr>
        <w:t>ation between the federal and state agencies may lead to duplication of efforts, delays in fund release, and unhappiness in implementation.</w:t>
      </w:r>
      <w:r w:rsidRPr="00BA3EF8">
        <w:rPr>
          <w:b w:val="0"/>
          <w:bCs w:val="0"/>
        </w:rPr>
        <w:t xml:space="preserve"> </w:t>
      </w:r>
    </w:p>
    <w:p w14:paraId="08DCC039" w14:textId="77777777" w:rsidR="0033183A" w:rsidRDefault="00DB019C" w:rsidP="0033183A">
      <w:pPr>
        <w:spacing w:line="480" w:lineRule="auto"/>
        <w:ind w:firstLine="720"/>
        <w:contextualSpacing/>
        <w:jc w:val="center"/>
        <w:rPr>
          <w:b/>
          <w:bCs/>
        </w:rPr>
      </w:pPr>
      <w:r w:rsidRPr="00C33C14">
        <w:rPr>
          <w:b/>
          <w:bCs/>
        </w:rPr>
        <w:t>Data Collection Methods</w:t>
      </w:r>
    </w:p>
    <w:p w14:paraId="17C707C7" w14:textId="77777777" w:rsidR="0033183A" w:rsidRDefault="00DB019C" w:rsidP="0033183A">
      <w:pPr>
        <w:spacing w:line="480" w:lineRule="auto"/>
        <w:ind w:firstLine="720"/>
        <w:contextualSpacing/>
      </w:pPr>
      <w:r w:rsidRPr="005E6A22">
        <w:t xml:space="preserve">The capstone study uses a </w:t>
      </w:r>
      <w:r w:rsidR="00A74868">
        <w:t>quantitative comparative policy analysis design</w:t>
      </w:r>
      <w:r w:rsidRPr="005E6A22">
        <w:t xml:space="preserve"> to investigate the role of the context of governance in determining equitable disaster recovery outcomes in Illinois, Indiana, and Wisconsin. It is generally accepted that disaster recovery is a multi-tiered </w:t>
      </w:r>
      <w:r w:rsidRPr="005E6A22">
        <w:lastRenderedPageBreak/>
        <w:t>governance process that includes federal, state</w:t>
      </w:r>
      <w:r w:rsidRPr="005E6A22">
        <w:t xml:space="preserve">, and local agencies and involves both quantitative and qualitative measures that comprehensively understand the outcomes and disparities </w:t>
      </w:r>
      <w:r w:rsidR="00915A7D" w:rsidRPr="00915A7D">
        <w:t>(Chantilas et al., 2023)</w:t>
      </w:r>
      <w:r w:rsidR="00915A7D">
        <w:rPr>
          <w:b/>
          <w:bCs/>
        </w:rPr>
        <w:t xml:space="preserve">. </w:t>
      </w:r>
      <w:r w:rsidRPr="005E6A22">
        <w:t>To this end, the following four data collection methods are used in a complementary manner i</w:t>
      </w:r>
      <w:r w:rsidRPr="005E6A22">
        <w:t xml:space="preserve">n this study: FEMA administrative, (2) HUD housing recovery, (3) </w:t>
      </w:r>
      <w:r w:rsidR="00E97D22" w:rsidRPr="00E97D22">
        <w:t>quantitative coding and statistical analysis of after-action reports and audits</w:t>
      </w:r>
      <w:r w:rsidRPr="005E6A22">
        <w:t>, and (4) governance and fiscal indicators.</w:t>
      </w:r>
    </w:p>
    <w:p w14:paraId="49821231" w14:textId="77777777" w:rsidR="0033183A" w:rsidRPr="0033183A" w:rsidRDefault="00DB019C" w:rsidP="0033183A">
      <w:pPr>
        <w:spacing w:line="480" w:lineRule="auto"/>
        <w:contextualSpacing/>
        <w:rPr>
          <w:b/>
          <w:bCs/>
        </w:rPr>
      </w:pPr>
      <w:r w:rsidRPr="0033183A">
        <w:rPr>
          <w:b/>
          <w:bCs/>
        </w:rPr>
        <w:t>FEMA Open Data (Administrative Quantitative Data)</w:t>
      </w:r>
    </w:p>
    <w:p w14:paraId="1E00C4C9" w14:textId="77777777" w:rsidR="005E6A22" w:rsidRDefault="00DB019C" w:rsidP="0033183A">
      <w:pPr>
        <w:spacing w:line="480" w:lineRule="auto"/>
        <w:ind w:firstLine="720"/>
        <w:contextualSpacing/>
        <w:rPr>
          <w:b/>
          <w:bCs/>
        </w:rPr>
      </w:pPr>
      <w:r w:rsidRPr="005E6A22">
        <w:t>The initial data c</w:t>
      </w:r>
      <w:r w:rsidRPr="005E6A22">
        <w:t xml:space="preserve">ollection tool is based on administrative data on </w:t>
      </w:r>
      <w:r>
        <w:t xml:space="preserve">the </w:t>
      </w:r>
      <w:r w:rsidRPr="005E6A22">
        <w:t xml:space="preserve">FEMA open data portal. Administrative data are data that are gathered by government agencies in the process of normal program implementation, as opposed to conducting research. It is gaining popularity </w:t>
      </w:r>
      <w:r w:rsidRPr="005E6A22">
        <w:t>in the context of disaster research because of its size, validity, and time series nature</w:t>
      </w:r>
      <w:r w:rsidR="0032418A">
        <w:rPr>
          <w:b/>
          <w:bCs/>
        </w:rPr>
        <w:t xml:space="preserve">. </w:t>
      </w:r>
      <w:r w:rsidRPr="005E6A22">
        <w:t>FEMA data consists of Individual and Household Program (IHP) registrations, verified losses, Public Assistance projects</w:t>
      </w:r>
      <w:r w:rsidR="00E5227F">
        <w:t>,</w:t>
      </w:r>
      <w:r w:rsidRPr="005E6A22">
        <w:t xml:space="preserve"> and disaster declarations</w:t>
      </w:r>
      <w:r w:rsidR="0032418A">
        <w:rPr>
          <w:b/>
          <w:bCs/>
        </w:rPr>
        <w:t xml:space="preserve"> </w:t>
      </w:r>
      <w:r w:rsidR="0032418A" w:rsidRPr="0032418A">
        <w:t>(Margus et al., 2023)</w:t>
      </w:r>
      <w:r w:rsidRPr="005E6A22">
        <w:t xml:space="preserve">. These datasets give </w:t>
      </w:r>
      <w:r w:rsidR="00E5227F">
        <w:t>an</w:t>
      </w:r>
      <w:r w:rsidRPr="005E6A22">
        <w:t xml:space="preserve"> understanding of the distribution of federal disaster aid and the level of </w:t>
      </w:r>
      <w:r w:rsidR="00E5227F">
        <w:t>damage</w:t>
      </w:r>
      <w:r w:rsidRPr="005E6A22">
        <w:t xml:space="preserve"> suffered by communities. Previous studies indicate that FEMA assistance information is especially use</w:t>
      </w:r>
      <w:r w:rsidRPr="005E6A22">
        <w:t>ful in determining inequalities in aid diffusion between socio-economic groups, and vulnerable groups are usually disadvantaged by the accessibility barriers (Wilson et al., 2021).</w:t>
      </w:r>
      <w:r>
        <w:t xml:space="preserve"> </w:t>
      </w:r>
      <w:r w:rsidRPr="005E6A22">
        <w:t>In simple language, the approach examines the official government documents</w:t>
      </w:r>
      <w:r w:rsidRPr="005E6A22">
        <w:t xml:space="preserve"> to find out who gets disaster relief, the extent of aid given, and any imbalance. These datasets are narrowed down to disasters in Illinois, Indiana, and Wisconsin between 2015 and 2025, which </w:t>
      </w:r>
      <w:r w:rsidR="00E5227F">
        <w:t>are</w:t>
      </w:r>
      <w:r w:rsidRPr="005E6A22">
        <w:t xml:space="preserve"> longitudinally </w:t>
      </w:r>
      <w:r w:rsidR="00E5227F" w:rsidRPr="005E6A22">
        <w:t>analyzable</w:t>
      </w:r>
      <w:r w:rsidRPr="005E6A22">
        <w:t>.</w:t>
      </w:r>
      <w:r>
        <w:t xml:space="preserve"> </w:t>
      </w:r>
      <w:r w:rsidRPr="005E6A22">
        <w:t>The data will be logistically d</w:t>
      </w:r>
      <w:r w:rsidRPr="005E6A22">
        <w:t xml:space="preserve">ownloaded in CSV files on </w:t>
      </w:r>
      <w:r w:rsidR="00E5227F">
        <w:t xml:space="preserve">the </w:t>
      </w:r>
      <w:r w:rsidRPr="005E6A22">
        <w:t xml:space="preserve">FEMA platform and combined with U.S. Census data using Federal Information Processing Standards (FIPS) codes. This allows county and census block analysis. FEMA and Census data integration has been popular in </w:t>
      </w:r>
      <w:r w:rsidRPr="005E6A22">
        <w:lastRenderedPageBreak/>
        <w:t>disaster inequali</w:t>
      </w:r>
      <w:r w:rsidRPr="005E6A22">
        <w:t>ty studies to determine the connection between aid distribution and socio-economic vulnerability (Tate et al., 2021).</w:t>
      </w:r>
      <w:r>
        <w:t xml:space="preserve"> </w:t>
      </w:r>
      <w:r w:rsidRPr="005E6A22">
        <w:t>This approach is suitable since it will directly answer the first sub-research question related to the distribution of federal disaster re</w:t>
      </w:r>
      <w:r w:rsidRPr="005E6A22">
        <w:t xml:space="preserve">lief. It offers objective, measurable data </w:t>
      </w:r>
      <w:r w:rsidR="00E5227F">
        <w:t>on</w:t>
      </w:r>
      <w:r w:rsidRPr="005E6A22">
        <w:t xml:space="preserve"> resource allocation patterns</w:t>
      </w:r>
      <w:r w:rsidR="00E5227F">
        <w:t>,</w:t>
      </w:r>
      <w:r w:rsidRPr="005E6A22">
        <w:t xml:space="preserve"> and it helps to conduct strict statistical analysis.</w:t>
      </w:r>
    </w:p>
    <w:p w14:paraId="1E8A0479" w14:textId="77777777" w:rsidR="005E6A22" w:rsidRPr="00E5227F" w:rsidRDefault="00DB019C" w:rsidP="00BA3EF8">
      <w:pPr>
        <w:pStyle w:val="Heading1"/>
        <w:spacing w:line="480" w:lineRule="auto"/>
        <w:contextualSpacing/>
        <w:rPr>
          <w:color w:val="auto"/>
        </w:rPr>
      </w:pPr>
      <w:r w:rsidRPr="00E5227F">
        <w:rPr>
          <w:color w:val="auto"/>
        </w:rPr>
        <w:t xml:space="preserve">HUD CPD Housing Recovery Data (Longitudinal Recovery Analysis) </w:t>
      </w:r>
    </w:p>
    <w:p w14:paraId="2FDA6B4D" w14:textId="77777777" w:rsidR="005E6A22" w:rsidRDefault="00DB019C" w:rsidP="00BA3EF8">
      <w:pPr>
        <w:pStyle w:val="Heading1"/>
        <w:spacing w:line="480" w:lineRule="auto"/>
        <w:ind w:firstLine="720"/>
        <w:contextualSpacing/>
        <w:rPr>
          <w:b w:val="0"/>
          <w:bCs w:val="0"/>
          <w:color w:val="auto"/>
        </w:rPr>
      </w:pPr>
      <w:r w:rsidRPr="005E6A22">
        <w:rPr>
          <w:b w:val="0"/>
          <w:bCs w:val="0"/>
          <w:color w:val="auto"/>
        </w:rPr>
        <w:t>The second data collection plan is the Community Planning and D</w:t>
      </w:r>
      <w:r w:rsidRPr="005E6A22">
        <w:rPr>
          <w:b w:val="0"/>
          <w:bCs w:val="0"/>
          <w:color w:val="auto"/>
        </w:rPr>
        <w:t>evelopment (CPD) datasets of HUD, especially the Community Development Block Grant-Disaster Recovery (CDBG-DR) program data. CDBG-DR is the main federal program of disaster recovery (especially reconstruction of housing and infrastructure) over the long te</w:t>
      </w:r>
      <w:r w:rsidRPr="005E6A22">
        <w:rPr>
          <w:b w:val="0"/>
          <w:bCs w:val="0"/>
          <w:color w:val="auto"/>
        </w:rPr>
        <w:t>rm. According to scholarly research, HUD recovery programs are indispensable to comprehending long-term recovery routes as they can last years after initial FEMA aid (</w:t>
      </w:r>
      <w:r w:rsidR="0032418A" w:rsidRPr="0032418A">
        <w:rPr>
          <w:b w:val="0"/>
          <w:bCs w:val="0"/>
          <w:color w:val="auto"/>
        </w:rPr>
        <w:t>Martín</w:t>
      </w:r>
      <w:r w:rsidR="0032418A">
        <w:rPr>
          <w:b w:val="0"/>
          <w:bCs w:val="0"/>
          <w:color w:val="auto"/>
        </w:rPr>
        <w:t xml:space="preserve"> </w:t>
      </w:r>
      <w:r w:rsidRPr="005E6A22">
        <w:rPr>
          <w:b w:val="0"/>
          <w:bCs w:val="0"/>
          <w:color w:val="auto"/>
        </w:rPr>
        <w:t>et al., 2021). These data sets will offer specific details about funding distribut</w:t>
      </w:r>
      <w:r w:rsidRPr="005E6A22">
        <w:rPr>
          <w:b w:val="0"/>
          <w:bCs w:val="0"/>
          <w:color w:val="auto"/>
        </w:rPr>
        <w:t xml:space="preserve">ions, project timelines, and geographic locations of the recovery activity. Simply, this procedure monitors the duration of community recovery following any disaster and the financial allocation of recovery resources </w:t>
      </w:r>
      <w:r w:rsidR="00E5227F">
        <w:rPr>
          <w:b w:val="0"/>
          <w:bCs w:val="0"/>
          <w:color w:val="auto"/>
        </w:rPr>
        <w:t>over</w:t>
      </w:r>
      <w:r w:rsidRPr="005E6A22">
        <w:rPr>
          <w:b w:val="0"/>
          <w:bCs w:val="0"/>
          <w:color w:val="auto"/>
        </w:rPr>
        <w:t xml:space="preserve"> time. It assists in answering ques</w:t>
      </w:r>
      <w:r w:rsidRPr="005E6A22">
        <w:rPr>
          <w:b w:val="0"/>
          <w:bCs w:val="0"/>
          <w:color w:val="auto"/>
        </w:rPr>
        <w:t>tions regarding whether some communities are recovering more rapidly than others and why there are disparities. The data will be retrieved logistically using the Public Data Portal of HUD and narrowed down by state and time. The most important variables ar</w:t>
      </w:r>
      <w:r w:rsidRPr="005E6A22">
        <w:rPr>
          <w:b w:val="0"/>
          <w:bCs w:val="0"/>
          <w:color w:val="auto"/>
        </w:rPr>
        <w:t xml:space="preserve">e the start and completion dates of the project, which </w:t>
      </w:r>
      <w:r w:rsidR="00E5227F">
        <w:rPr>
          <w:b w:val="0"/>
          <w:bCs w:val="0"/>
          <w:color w:val="auto"/>
        </w:rPr>
        <w:t>make</w:t>
      </w:r>
      <w:r w:rsidRPr="005E6A22">
        <w:rPr>
          <w:b w:val="0"/>
          <w:bCs w:val="0"/>
          <w:color w:val="auto"/>
        </w:rPr>
        <w:t xml:space="preserve"> it possible to calculate the recovery time. These schedules are an important dependent variable in the research. The suitability of this approach is due to the fact that it will answer the second </w:t>
      </w:r>
      <w:r w:rsidRPr="005E6A22">
        <w:rPr>
          <w:b w:val="0"/>
          <w:bCs w:val="0"/>
          <w:color w:val="auto"/>
        </w:rPr>
        <w:t xml:space="preserve">sub-research question of recovery timelines and interagency coordination. Literature reveals that housing recovery delays tend to be associated </w:t>
      </w:r>
      <w:r w:rsidRPr="005E6A22">
        <w:rPr>
          <w:b w:val="0"/>
          <w:bCs w:val="0"/>
          <w:color w:val="auto"/>
        </w:rPr>
        <w:lastRenderedPageBreak/>
        <w:t>with fragmentation of governance and inter-agency coordination issues between federal and state (</w:t>
      </w:r>
      <w:r w:rsidR="0032418A" w:rsidRPr="0032418A">
        <w:rPr>
          <w:b w:val="0"/>
          <w:bCs w:val="0"/>
          <w:color w:val="auto"/>
        </w:rPr>
        <w:t>Martín</w:t>
      </w:r>
      <w:r w:rsidRPr="005E6A22">
        <w:rPr>
          <w:b w:val="0"/>
          <w:bCs w:val="0"/>
          <w:color w:val="auto"/>
        </w:rPr>
        <w:t xml:space="preserve"> et al., </w:t>
      </w:r>
      <w:r w:rsidRPr="005E6A22">
        <w:rPr>
          <w:b w:val="0"/>
          <w:bCs w:val="0"/>
          <w:color w:val="auto"/>
        </w:rPr>
        <w:t xml:space="preserve">2021; </w:t>
      </w:r>
      <w:r w:rsidR="00C36FFF" w:rsidRPr="00C36FFF">
        <w:rPr>
          <w:b w:val="0"/>
          <w:bCs w:val="0"/>
          <w:color w:val="auto"/>
        </w:rPr>
        <w:t>Park &amp; Kwon, 2024)</w:t>
      </w:r>
      <w:r w:rsidRPr="005E6A22">
        <w:rPr>
          <w:b w:val="0"/>
          <w:bCs w:val="0"/>
          <w:color w:val="auto"/>
        </w:rPr>
        <w:t xml:space="preserve">. Moreover, </w:t>
      </w:r>
      <w:r w:rsidR="00E5227F">
        <w:rPr>
          <w:b w:val="0"/>
          <w:bCs w:val="0"/>
          <w:color w:val="auto"/>
        </w:rPr>
        <w:t xml:space="preserve">the </w:t>
      </w:r>
      <w:r w:rsidRPr="005E6A22">
        <w:rPr>
          <w:b w:val="0"/>
          <w:bCs w:val="0"/>
          <w:color w:val="auto"/>
        </w:rPr>
        <w:t>incorporation of HUD and FEMA data would give a holistic picture of both short-term and long-term recovery, which is crucial in assessing recovery equity.</w:t>
      </w:r>
    </w:p>
    <w:p w14:paraId="69533E8A" w14:textId="77777777" w:rsidR="00E5227F" w:rsidRPr="002F30A8" w:rsidRDefault="00DB019C" w:rsidP="002F30A8">
      <w:pPr>
        <w:pStyle w:val="Heading1"/>
        <w:spacing w:line="480" w:lineRule="auto"/>
        <w:contextualSpacing/>
        <w:rPr>
          <w:color w:val="auto"/>
        </w:rPr>
      </w:pPr>
      <w:r w:rsidRPr="00E5227F">
        <w:rPr>
          <w:color w:val="auto"/>
        </w:rPr>
        <w:t>Qua</w:t>
      </w:r>
      <w:r w:rsidR="00E97D22">
        <w:rPr>
          <w:color w:val="auto"/>
        </w:rPr>
        <w:t xml:space="preserve">ntitative </w:t>
      </w:r>
      <w:r w:rsidRPr="00E5227F">
        <w:rPr>
          <w:color w:val="auto"/>
        </w:rPr>
        <w:t xml:space="preserve">Content Analysis of After-Action Reports and </w:t>
      </w:r>
      <w:r w:rsidRPr="00E5227F">
        <w:rPr>
          <w:color w:val="auto"/>
        </w:rPr>
        <w:t>Federal Audits.</w:t>
      </w:r>
    </w:p>
    <w:p w14:paraId="39931E9B" w14:textId="77777777" w:rsidR="00E97D22" w:rsidRDefault="00DB019C" w:rsidP="005420AF">
      <w:pPr>
        <w:pStyle w:val="Heading1"/>
        <w:spacing w:line="480" w:lineRule="auto"/>
        <w:ind w:firstLine="720"/>
        <w:contextualSpacing/>
        <w:rPr>
          <w:b w:val="0"/>
          <w:bCs w:val="0"/>
          <w:color w:val="auto"/>
        </w:rPr>
      </w:pPr>
      <w:r w:rsidRPr="00E97D22">
        <w:rPr>
          <w:b w:val="0"/>
          <w:bCs w:val="0"/>
          <w:color w:val="auto"/>
        </w:rPr>
        <w:t>The third data collection method is a quantitative coding of after-action reports (AARs) and federal audits. AARs document coordination, lessons learned</w:t>
      </w:r>
      <w:r w:rsidR="005420AF">
        <w:rPr>
          <w:b w:val="0"/>
          <w:bCs w:val="0"/>
          <w:color w:val="auto"/>
        </w:rPr>
        <w:t>,</w:t>
      </w:r>
      <w:r w:rsidRPr="00E97D22">
        <w:rPr>
          <w:b w:val="0"/>
          <w:bCs w:val="0"/>
          <w:color w:val="auto"/>
        </w:rPr>
        <w:t xml:space="preserve"> and effectiveness, and federal audits report independent evaluations of federal progra</w:t>
      </w:r>
      <w:r w:rsidRPr="00E97D22">
        <w:rPr>
          <w:b w:val="0"/>
          <w:bCs w:val="0"/>
          <w:color w:val="auto"/>
        </w:rPr>
        <w:t>ms and highlight system flaws. In simple terms, this approach converts qualitative reports into numeric indicators to assess how effectively agencies collaborated during disaster recovery</w:t>
      </w:r>
      <w:r w:rsidR="005420AF">
        <w:rPr>
          <w:b w:val="0"/>
          <w:bCs w:val="0"/>
          <w:color w:val="auto"/>
        </w:rPr>
        <w:t xml:space="preserve"> </w:t>
      </w:r>
      <w:r w:rsidR="0032418A" w:rsidRPr="0032418A">
        <w:rPr>
          <w:b w:val="0"/>
          <w:bCs w:val="0"/>
          <w:color w:val="auto"/>
        </w:rPr>
        <w:t>(Quach et al., 2023</w:t>
      </w:r>
      <w:r w:rsidR="005420AF" w:rsidRPr="005420AF">
        <w:rPr>
          <w:b w:val="0"/>
          <w:bCs w:val="0"/>
          <w:color w:val="auto"/>
        </w:rPr>
        <w:t>)</w:t>
      </w:r>
      <w:r w:rsidRPr="00E97D22">
        <w:rPr>
          <w:b w:val="0"/>
          <w:bCs w:val="0"/>
          <w:color w:val="auto"/>
        </w:rPr>
        <w:t>. AARs will come from state emergency management</w:t>
      </w:r>
      <w:r w:rsidRPr="00E97D22">
        <w:rPr>
          <w:b w:val="0"/>
          <w:bCs w:val="0"/>
          <w:color w:val="auto"/>
        </w:rPr>
        <w:t xml:space="preserve"> agencies</w:t>
      </w:r>
      <w:r w:rsidR="005420AF">
        <w:rPr>
          <w:b w:val="0"/>
          <w:bCs w:val="0"/>
          <w:color w:val="auto"/>
        </w:rPr>
        <w:t>,</w:t>
      </w:r>
      <w:r w:rsidRPr="00E97D22">
        <w:rPr>
          <w:b w:val="0"/>
          <w:bCs w:val="0"/>
          <w:color w:val="auto"/>
        </w:rPr>
        <w:t xml:space="preserve"> the Lessons Learned Information Sharing system, and federal audits.</w:t>
      </w:r>
      <w:r w:rsidR="005420AF">
        <w:rPr>
          <w:b w:val="0"/>
          <w:bCs w:val="0"/>
          <w:color w:val="auto"/>
        </w:rPr>
        <w:t xml:space="preserve"> </w:t>
      </w:r>
      <w:r w:rsidRPr="00E97D22">
        <w:rPr>
          <w:b w:val="0"/>
          <w:bCs w:val="0"/>
          <w:color w:val="auto"/>
        </w:rPr>
        <w:t xml:space="preserve">To maintain consistency, 20 percent of the documents will be coded by two independent coders with a goal kappa score of 0.80. This approach allows the </w:t>
      </w:r>
      <w:r w:rsidR="005420AF" w:rsidRPr="00E97D22">
        <w:rPr>
          <w:b w:val="0"/>
          <w:bCs w:val="0"/>
          <w:color w:val="auto"/>
        </w:rPr>
        <w:t>operationalization</w:t>
      </w:r>
      <w:r w:rsidRPr="00E97D22">
        <w:rPr>
          <w:b w:val="0"/>
          <w:bCs w:val="0"/>
          <w:color w:val="auto"/>
        </w:rPr>
        <w:t xml:space="preserve"> of inte</w:t>
      </w:r>
      <w:r w:rsidRPr="00E97D22">
        <w:rPr>
          <w:b w:val="0"/>
          <w:bCs w:val="0"/>
          <w:color w:val="auto"/>
        </w:rPr>
        <w:t>ragency coordination as a key independent variable. Quantitative coding methods thus allow across-case analysis and retain institutional process detail.</w:t>
      </w:r>
    </w:p>
    <w:p w14:paraId="5C09FE6B" w14:textId="77777777" w:rsidR="00BA3EF8" w:rsidRPr="002F30A8" w:rsidRDefault="00DB019C" w:rsidP="00E97D22">
      <w:pPr>
        <w:pStyle w:val="Heading1"/>
        <w:spacing w:line="480" w:lineRule="auto"/>
        <w:contextualSpacing/>
        <w:rPr>
          <w:color w:val="auto"/>
        </w:rPr>
      </w:pPr>
      <w:r w:rsidRPr="00E5227F">
        <w:rPr>
          <w:b w:val="0"/>
          <w:bCs w:val="0"/>
          <w:color w:val="auto"/>
        </w:rPr>
        <w:t>4</w:t>
      </w:r>
      <w:r w:rsidRPr="002F30A8">
        <w:rPr>
          <w:color w:val="auto"/>
        </w:rPr>
        <w:t>. Governance and Fiscal Context Information (Composite Index Construction)</w:t>
      </w:r>
    </w:p>
    <w:p w14:paraId="06722E1C" w14:textId="77777777" w:rsidR="00E5227F" w:rsidRPr="00E5227F" w:rsidRDefault="00DB019C" w:rsidP="00DE7DB2">
      <w:pPr>
        <w:pStyle w:val="Heading1"/>
        <w:spacing w:line="480" w:lineRule="auto"/>
        <w:ind w:firstLine="720"/>
        <w:contextualSpacing/>
        <w:rPr>
          <w:b w:val="0"/>
          <w:bCs w:val="0"/>
          <w:color w:val="auto"/>
        </w:rPr>
      </w:pPr>
      <w:r w:rsidRPr="00E5227F">
        <w:rPr>
          <w:b w:val="0"/>
          <w:bCs w:val="0"/>
          <w:color w:val="auto"/>
        </w:rPr>
        <w:t xml:space="preserve">The fourth data collection </w:t>
      </w:r>
      <w:r w:rsidRPr="00E5227F">
        <w:rPr>
          <w:b w:val="0"/>
          <w:bCs w:val="0"/>
          <w:color w:val="auto"/>
        </w:rPr>
        <w:t>plan is based on governance systems and financial ability. The context of governance encompasses law, institutional power, and resource allocation systems that influence the response and recovery approach to disasters.</w:t>
      </w:r>
      <w:r w:rsidR="00BA3EF8">
        <w:rPr>
          <w:b w:val="0"/>
          <w:bCs w:val="0"/>
          <w:color w:val="auto"/>
        </w:rPr>
        <w:t xml:space="preserve"> </w:t>
      </w:r>
      <w:r w:rsidRPr="00E5227F">
        <w:rPr>
          <w:b w:val="0"/>
          <w:bCs w:val="0"/>
          <w:color w:val="auto"/>
        </w:rPr>
        <w:t>The studies have continuously found t</w:t>
      </w:r>
      <w:r w:rsidRPr="00E5227F">
        <w:rPr>
          <w:b w:val="0"/>
          <w:bCs w:val="0"/>
          <w:color w:val="auto"/>
        </w:rPr>
        <w:t>hat governance arrangements largely affect the outcome of disaster recovery, especially in coordination effectiveness and resource allocation (</w:t>
      </w:r>
      <w:r w:rsidR="00C36FFF" w:rsidRPr="00C36FFF">
        <w:rPr>
          <w:b w:val="0"/>
          <w:bCs w:val="0"/>
          <w:color w:val="auto"/>
        </w:rPr>
        <w:t>Tang et al., 2021</w:t>
      </w:r>
      <w:r w:rsidRPr="00E5227F">
        <w:rPr>
          <w:b w:val="0"/>
          <w:bCs w:val="0"/>
          <w:color w:val="auto"/>
        </w:rPr>
        <w:t>).</w:t>
      </w:r>
      <w:r w:rsidR="002F30A8">
        <w:rPr>
          <w:b w:val="0"/>
          <w:bCs w:val="0"/>
          <w:color w:val="auto"/>
        </w:rPr>
        <w:t xml:space="preserve"> </w:t>
      </w:r>
      <w:r w:rsidRPr="00E5227F">
        <w:rPr>
          <w:b w:val="0"/>
          <w:bCs w:val="0"/>
          <w:color w:val="auto"/>
        </w:rPr>
        <w:t>Simply stated, this approach focuses on how the system of any state is organized, who bears d</w:t>
      </w:r>
      <w:r w:rsidRPr="00E5227F">
        <w:rPr>
          <w:b w:val="0"/>
          <w:bCs w:val="0"/>
          <w:color w:val="auto"/>
        </w:rPr>
        <w:t>ecision-making responsibilities, how the agencies cooperate, and how resources are distributed.</w:t>
      </w:r>
      <w:r w:rsidR="00BA3EF8">
        <w:rPr>
          <w:b w:val="0"/>
          <w:bCs w:val="0"/>
          <w:color w:val="auto"/>
        </w:rPr>
        <w:t xml:space="preserve"> </w:t>
      </w:r>
      <w:r w:rsidRPr="00E5227F">
        <w:rPr>
          <w:b w:val="0"/>
          <w:bCs w:val="0"/>
          <w:color w:val="auto"/>
        </w:rPr>
        <w:t xml:space="preserve">Statutory </w:t>
      </w:r>
      <w:r w:rsidRPr="00E5227F">
        <w:rPr>
          <w:b w:val="0"/>
          <w:bCs w:val="0"/>
          <w:color w:val="auto"/>
        </w:rPr>
        <w:lastRenderedPageBreak/>
        <w:t>documents of Illinois, Indiana, and Wisconsin will be analyzed logistically to determine</w:t>
      </w:r>
      <w:r w:rsidR="00E97D22">
        <w:rPr>
          <w:b w:val="0"/>
          <w:bCs w:val="0"/>
          <w:color w:val="auto"/>
        </w:rPr>
        <w:t xml:space="preserve"> e</w:t>
      </w:r>
      <w:r w:rsidRPr="00E5227F">
        <w:rPr>
          <w:b w:val="0"/>
          <w:bCs w:val="0"/>
          <w:color w:val="auto"/>
        </w:rPr>
        <w:t>xecutive authority</w:t>
      </w:r>
      <w:r w:rsidR="00E97D22">
        <w:rPr>
          <w:b w:val="0"/>
          <w:bCs w:val="0"/>
          <w:color w:val="auto"/>
        </w:rPr>
        <w:t>, i</w:t>
      </w:r>
      <w:r w:rsidRPr="00E5227F">
        <w:rPr>
          <w:b w:val="0"/>
          <w:bCs w:val="0"/>
          <w:color w:val="auto"/>
        </w:rPr>
        <w:t xml:space="preserve">nteragency coordination </w:t>
      </w:r>
      <w:r w:rsidRPr="00E5227F">
        <w:rPr>
          <w:b w:val="0"/>
          <w:bCs w:val="0"/>
          <w:color w:val="auto"/>
        </w:rPr>
        <w:t>requirements</w:t>
      </w:r>
      <w:r w:rsidR="00E97D22">
        <w:rPr>
          <w:b w:val="0"/>
          <w:bCs w:val="0"/>
          <w:color w:val="auto"/>
        </w:rPr>
        <w:t>, and r</w:t>
      </w:r>
      <w:r w:rsidRPr="00E5227F">
        <w:rPr>
          <w:b w:val="0"/>
          <w:bCs w:val="0"/>
          <w:color w:val="auto"/>
        </w:rPr>
        <w:t>esource allocation structures.</w:t>
      </w:r>
    </w:p>
    <w:p w14:paraId="655F967A" w14:textId="77777777" w:rsidR="00E5227F" w:rsidRPr="00E5227F" w:rsidRDefault="00DB019C" w:rsidP="00BA3EF8">
      <w:pPr>
        <w:pStyle w:val="Heading1"/>
        <w:spacing w:line="480" w:lineRule="auto"/>
        <w:contextualSpacing/>
        <w:rPr>
          <w:b w:val="0"/>
          <w:bCs w:val="0"/>
          <w:color w:val="auto"/>
        </w:rPr>
      </w:pPr>
      <w:r w:rsidRPr="00E5227F">
        <w:rPr>
          <w:b w:val="0"/>
          <w:bCs w:val="0"/>
          <w:color w:val="auto"/>
        </w:rPr>
        <w:t xml:space="preserve">The fiscal data will be acquired through state budgets and the Annual Survey of State Government Finances by the </w:t>
      </w:r>
      <w:r w:rsidR="00BA3EF8">
        <w:rPr>
          <w:b w:val="0"/>
          <w:bCs w:val="0"/>
          <w:color w:val="auto"/>
        </w:rPr>
        <w:t>U.S. Census Bureau</w:t>
      </w:r>
      <w:r w:rsidRPr="00E5227F">
        <w:rPr>
          <w:b w:val="0"/>
          <w:bCs w:val="0"/>
          <w:color w:val="auto"/>
        </w:rPr>
        <w:t>. These statistics give percentages of emergency management expenditures re</w:t>
      </w:r>
      <w:r w:rsidRPr="00E5227F">
        <w:rPr>
          <w:b w:val="0"/>
          <w:bCs w:val="0"/>
          <w:color w:val="auto"/>
        </w:rPr>
        <w:t>lative to overall expenditures by the state.</w:t>
      </w:r>
      <w:r w:rsidR="00BA3EF8">
        <w:rPr>
          <w:b w:val="0"/>
          <w:bCs w:val="0"/>
          <w:color w:val="auto"/>
        </w:rPr>
        <w:t xml:space="preserve"> </w:t>
      </w:r>
      <w:r w:rsidRPr="00E5227F">
        <w:rPr>
          <w:b w:val="0"/>
          <w:bCs w:val="0"/>
          <w:color w:val="auto"/>
        </w:rPr>
        <w:t>Further benchmarking information will be obtained through the National Emergency Management Association (NEMA) evaluations and the Emergency Management Accreditation Program (EMAP) criteria, which offer standard</w:t>
      </w:r>
      <w:r w:rsidRPr="00E5227F">
        <w:rPr>
          <w:b w:val="0"/>
          <w:bCs w:val="0"/>
          <w:color w:val="auto"/>
        </w:rPr>
        <w:t>ized indicators of state preparedness.</w:t>
      </w:r>
      <w:r w:rsidR="00BA3EF8">
        <w:rPr>
          <w:b w:val="0"/>
          <w:bCs w:val="0"/>
          <w:color w:val="auto"/>
        </w:rPr>
        <w:t xml:space="preserve"> </w:t>
      </w:r>
      <w:r w:rsidRPr="00E5227F">
        <w:rPr>
          <w:b w:val="0"/>
          <w:bCs w:val="0"/>
          <w:color w:val="auto"/>
        </w:rPr>
        <w:t>All the variables of governance will be grouped into a composite index, which will become the main independent variable in regression analysis.</w:t>
      </w:r>
      <w:r w:rsidR="00BA3EF8">
        <w:rPr>
          <w:b w:val="0"/>
          <w:bCs w:val="0"/>
          <w:color w:val="auto"/>
        </w:rPr>
        <w:t xml:space="preserve"> </w:t>
      </w:r>
      <w:r w:rsidRPr="00E5227F">
        <w:rPr>
          <w:b w:val="0"/>
          <w:bCs w:val="0"/>
          <w:color w:val="auto"/>
        </w:rPr>
        <w:t>This approach is suitable since governance is a multidimensional construc</w:t>
      </w:r>
      <w:r w:rsidRPr="00E5227F">
        <w:rPr>
          <w:b w:val="0"/>
          <w:bCs w:val="0"/>
          <w:color w:val="auto"/>
        </w:rPr>
        <w:t>t and therefore, it needs numerous indicators to be effectively measured. It is typical of public administration research to utilize composite indices in order to reflect more complex institutional dynamics</w:t>
      </w:r>
      <w:r w:rsidR="005420AF">
        <w:rPr>
          <w:b w:val="0"/>
          <w:bCs w:val="0"/>
          <w:color w:val="auto"/>
        </w:rPr>
        <w:t>.</w:t>
      </w:r>
    </w:p>
    <w:p w14:paraId="1F1CA9E7" w14:textId="77777777" w:rsidR="00E5227F" w:rsidRPr="002F30A8" w:rsidRDefault="00DB019C" w:rsidP="00BA3EF8">
      <w:pPr>
        <w:pStyle w:val="Heading1"/>
        <w:spacing w:line="480" w:lineRule="auto"/>
        <w:contextualSpacing/>
        <w:rPr>
          <w:color w:val="auto"/>
        </w:rPr>
      </w:pPr>
      <w:r w:rsidRPr="002F30A8">
        <w:rPr>
          <w:color w:val="auto"/>
        </w:rPr>
        <w:t>Integration and Justification</w:t>
      </w:r>
    </w:p>
    <w:p w14:paraId="29AEC5C1" w14:textId="77777777" w:rsidR="00E5227F" w:rsidRDefault="00DB019C" w:rsidP="00BA3EF8">
      <w:pPr>
        <w:pStyle w:val="Heading1"/>
        <w:spacing w:line="480" w:lineRule="auto"/>
        <w:ind w:firstLine="720"/>
        <w:contextualSpacing/>
        <w:rPr>
          <w:b w:val="0"/>
          <w:bCs w:val="0"/>
          <w:color w:val="auto"/>
        </w:rPr>
      </w:pPr>
      <w:r w:rsidRPr="00E5227F">
        <w:rPr>
          <w:b w:val="0"/>
          <w:bCs w:val="0"/>
          <w:color w:val="auto"/>
        </w:rPr>
        <w:t>The combination of</w:t>
      </w:r>
      <w:r w:rsidRPr="00E5227F">
        <w:rPr>
          <w:b w:val="0"/>
          <w:bCs w:val="0"/>
          <w:color w:val="auto"/>
        </w:rPr>
        <w:t xml:space="preserve"> these four data collection </w:t>
      </w:r>
      <w:r w:rsidR="00BA3EF8">
        <w:rPr>
          <w:b w:val="0"/>
          <w:bCs w:val="0"/>
          <w:color w:val="auto"/>
        </w:rPr>
        <w:t>techniques</w:t>
      </w:r>
      <w:r w:rsidRPr="00E5227F">
        <w:rPr>
          <w:b w:val="0"/>
          <w:bCs w:val="0"/>
          <w:color w:val="auto"/>
        </w:rPr>
        <w:t xml:space="preserve"> facilitates the methodological triangulation of the study, which increases the validity and strength of the research. The quantitative indices of </w:t>
      </w:r>
      <w:r w:rsidR="002F30A8">
        <w:rPr>
          <w:b w:val="0"/>
          <w:bCs w:val="0"/>
          <w:color w:val="auto"/>
        </w:rPr>
        <w:t>resource</w:t>
      </w:r>
      <w:r w:rsidRPr="00E5227F">
        <w:rPr>
          <w:b w:val="0"/>
          <w:bCs w:val="0"/>
          <w:color w:val="auto"/>
        </w:rPr>
        <w:t xml:space="preserve"> allocation and recovery activities are available in FEMA and H</w:t>
      </w:r>
      <w:r w:rsidRPr="00E5227F">
        <w:rPr>
          <w:b w:val="0"/>
          <w:bCs w:val="0"/>
          <w:color w:val="auto"/>
        </w:rPr>
        <w:t xml:space="preserve">UD datasets, whereas </w:t>
      </w:r>
      <w:r w:rsidR="005420AF">
        <w:rPr>
          <w:b w:val="0"/>
          <w:bCs w:val="0"/>
          <w:color w:val="auto"/>
        </w:rPr>
        <w:t xml:space="preserve">quantitative coding </w:t>
      </w:r>
      <w:r w:rsidR="005420AF" w:rsidRPr="00E97D22">
        <w:rPr>
          <w:b w:val="0"/>
          <w:bCs w:val="0"/>
          <w:color w:val="auto"/>
        </w:rPr>
        <w:t>allows the operationalization of interagency coordination as a key independent variable</w:t>
      </w:r>
      <w:r w:rsidRPr="00E5227F">
        <w:rPr>
          <w:b w:val="0"/>
          <w:bCs w:val="0"/>
          <w:color w:val="auto"/>
        </w:rPr>
        <w:t>. The data on governance gives the institutional background that needs to be interpreted.</w:t>
      </w:r>
      <w:r>
        <w:rPr>
          <w:b w:val="0"/>
          <w:bCs w:val="0"/>
          <w:color w:val="auto"/>
        </w:rPr>
        <w:t xml:space="preserve"> </w:t>
      </w:r>
      <w:r w:rsidRPr="00E5227F">
        <w:rPr>
          <w:b w:val="0"/>
          <w:bCs w:val="0"/>
          <w:color w:val="auto"/>
        </w:rPr>
        <w:t>Notably, studies note that the results</w:t>
      </w:r>
      <w:r w:rsidRPr="00E5227F">
        <w:rPr>
          <w:b w:val="0"/>
          <w:bCs w:val="0"/>
          <w:color w:val="auto"/>
        </w:rPr>
        <w:t xml:space="preserve"> of disaster recovery are influenced by both process factors (e.g., quality of coordination) and structural factors (e.g., governance systems) (Wilson et al., 2021). Thus, the research questions require a </w:t>
      </w:r>
      <w:r w:rsidR="003F3490">
        <w:rPr>
          <w:b w:val="0"/>
          <w:bCs w:val="0"/>
          <w:color w:val="auto"/>
        </w:rPr>
        <w:t xml:space="preserve">quantitative comparative policy analysis </w:t>
      </w:r>
      <w:r w:rsidRPr="00E5227F">
        <w:rPr>
          <w:b w:val="0"/>
          <w:bCs w:val="0"/>
          <w:color w:val="auto"/>
        </w:rPr>
        <w:t>approach t</w:t>
      </w:r>
      <w:r w:rsidRPr="00E5227F">
        <w:rPr>
          <w:b w:val="0"/>
          <w:bCs w:val="0"/>
          <w:color w:val="auto"/>
        </w:rPr>
        <w:t>o be answerable.</w:t>
      </w:r>
      <w:r>
        <w:rPr>
          <w:b w:val="0"/>
          <w:bCs w:val="0"/>
          <w:color w:val="auto"/>
        </w:rPr>
        <w:t xml:space="preserve"> </w:t>
      </w:r>
      <w:r w:rsidRPr="00E5227F">
        <w:rPr>
          <w:b w:val="0"/>
          <w:bCs w:val="0"/>
          <w:color w:val="auto"/>
        </w:rPr>
        <w:t xml:space="preserve">Additionally, the use of publicly </w:t>
      </w:r>
      <w:r w:rsidRPr="00E5227F">
        <w:rPr>
          <w:b w:val="0"/>
          <w:bCs w:val="0"/>
          <w:color w:val="auto"/>
        </w:rPr>
        <w:lastRenderedPageBreak/>
        <w:t>accessible federal data will increase transparency and reproducibility</w:t>
      </w:r>
      <w:r w:rsidR="002F30A8">
        <w:rPr>
          <w:b w:val="0"/>
          <w:bCs w:val="0"/>
          <w:color w:val="auto"/>
        </w:rPr>
        <w:t>,</w:t>
      </w:r>
      <w:r w:rsidRPr="00E5227F">
        <w:rPr>
          <w:b w:val="0"/>
          <w:bCs w:val="0"/>
          <w:color w:val="auto"/>
        </w:rPr>
        <w:t xml:space="preserve"> which is in line with good policy research practices.</w:t>
      </w:r>
    </w:p>
    <w:p w14:paraId="30E557DA" w14:textId="77777777" w:rsidR="0029749B" w:rsidRDefault="00DB019C" w:rsidP="00B358A9">
      <w:pPr>
        <w:pStyle w:val="Heading1"/>
        <w:spacing w:line="480" w:lineRule="auto"/>
        <w:contextualSpacing/>
        <w:jc w:val="center"/>
      </w:pPr>
      <w:r>
        <w:t>Conclusion</w:t>
      </w:r>
    </w:p>
    <w:p w14:paraId="69681EC2" w14:textId="7AC0D6F8" w:rsidR="00DC4ED0" w:rsidRDefault="00DB019C" w:rsidP="00B358A9">
      <w:pPr>
        <w:pStyle w:val="Heading1"/>
        <w:spacing w:line="480" w:lineRule="auto"/>
        <w:ind w:firstLine="720"/>
        <w:contextualSpacing/>
        <w:rPr>
          <w:b w:val="0"/>
          <w:bCs w:val="0"/>
          <w:color w:val="auto"/>
        </w:rPr>
      </w:pPr>
      <w:r w:rsidRPr="00DC4ED0">
        <w:rPr>
          <w:b w:val="0"/>
          <w:bCs w:val="0"/>
          <w:color w:val="auto"/>
        </w:rPr>
        <w:t xml:space="preserve">To explore the central research question of how governance </w:t>
      </w:r>
      <w:r w:rsidRPr="00DC4ED0">
        <w:rPr>
          <w:b w:val="0"/>
          <w:bCs w:val="0"/>
          <w:color w:val="auto"/>
        </w:rPr>
        <w:t>context and effective interagency coordination have an impact on achieving equitable disaster recovery outcomes in Illinois, Indiana, and Wisconsin, this capstone has chosen to utilize a quantitative comparative policy analysis design (multivariate regress</w:t>
      </w:r>
      <w:r w:rsidRPr="00DC4ED0">
        <w:rPr>
          <w:b w:val="0"/>
          <w:bCs w:val="0"/>
          <w:color w:val="auto"/>
        </w:rPr>
        <w:t>ion, equity gap analysis, and GIS spatial mapping). This design directly correlates with the original research question, has empirical support from the extant methodological literature, and is based on four publicly available federal and state data sources</w:t>
      </w:r>
      <w:r w:rsidRPr="00DC4ED0">
        <w:rPr>
          <w:b w:val="0"/>
          <w:bCs w:val="0"/>
          <w:color w:val="auto"/>
        </w:rPr>
        <w:t>. Each of the sub-questions is examined through a specific data collection method, and when aggregated, the data from all three approaches will give breadth and depth of evidence to develop actionable recommendations on achieving disaster recovery equity a</w:t>
      </w:r>
      <w:r w:rsidRPr="00DC4ED0">
        <w:rPr>
          <w:b w:val="0"/>
          <w:bCs w:val="0"/>
          <w:color w:val="auto"/>
        </w:rPr>
        <w:t>cross the tri-state area.</w:t>
      </w:r>
      <w:r>
        <w:rPr>
          <w:b w:val="0"/>
          <w:bCs w:val="0"/>
          <w:color w:val="auto"/>
        </w:rPr>
        <w:t xml:space="preserve"> </w:t>
      </w:r>
      <w:r w:rsidRPr="00DC4ED0">
        <w:rPr>
          <w:b w:val="0"/>
          <w:bCs w:val="0"/>
          <w:color w:val="auto"/>
        </w:rPr>
        <w:t xml:space="preserve">The study's emphasis on the inland flooding, tornado alley shift, and polar vortex events that have been recurrent threats to regions of the United States bordering the Great Lakes illustrates the urgent and evolving </w:t>
      </w:r>
      <w:r w:rsidRPr="00DC4ED0">
        <w:rPr>
          <w:b w:val="0"/>
          <w:bCs w:val="0"/>
          <w:color w:val="auto"/>
        </w:rPr>
        <w:t>climate hazard landscape confronting these states, and will therefore provide practical utility to public administrators charged with emergency management, intergovernmental coordination, and establishing right service delivery in light of increased freque</w:t>
      </w:r>
      <w:r w:rsidRPr="00DC4ED0">
        <w:rPr>
          <w:b w:val="0"/>
          <w:bCs w:val="0"/>
          <w:color w:val="auto"/>
        </w:rPr>
        <w:t>ncy and intensity of disasters.</w:t>
      </w:r>
      <w:r w:rsidR="003A19EF">
        <w:rPr>
          <w:b w:val="0"/>
          <w:bCs w:val="0"/>
          <w:color w:val="auto"/>
        </w:rPr>
        <w:t xml:space="preserve"> </w:t>
      </w:r>
      <w:r w:rsidR="003A19EF" w:rsidRPr="003A19EF">
        <w:rPr>
          <w:b w:val="0"/>
          <w:bCs w:val="0"/>
          <w:color w:val="auto"/>
        </w:rPr>
        <w:t xml:space="preserve">Additionally, through the systematic examination of variability in the implementation of policies across states as well as the associated administrative capacities and resources, this study will be able to identifies structural gaps related to the equitable provision of health services. This approach will enhance the validity of the results by triangulating statistical, spatial, and distributional data to </w:t>
      </w:r>
      <w:proofErr w:type="spellStart"/>
      <w:r w:rsidR="003A19EF" w:rsidRPr="003A19EF">
        <w:rPr>
          <w:b w:val="0"/>
          <w:bCs w:val="0"/>
          <w:color w:val="auto"/>
        </w:rPr>
        <w:t>enchance</w:t>
      </w:r>
      <w:proofErr w:type="spellEnd"/>
      <w:r w:rsidR="003A19EF" w:rsidRPr="003A19EF">
        <w:rPr>
          <w:b w:val="0"/>
          <w:bCs w:val="0"/>
          <w:color w:val="auto"/>
        </w:rPr>
        <w:t xml:space="preserve"> our understanding of local disparities relative to macro-level trends.</w:t>
      </w:r>
    </w:p>
    <w:p w14:paraId="5A70ED23" w14:textId="77777777" w:rsidR="00DC4ED0" w:rsidRDefault="00DB019C" w:rsidP="00B358A9">
      <w:pPr>
        <w:spacing w:line="480" w:lineRule="auto"/>
        <w:contextualSpacing/>
      </w:pPr>
      <w:r>
        <w:rPr>
          <w:b/>
          <w:bCs/>
        </w:rPr>
        <w:lastRenderedPageBreak/>
        <w:br w:type="page"/>
      </w:r>
    </w:p>
    <w:p w14:paraId="394650CD" w14:textId="77777777" w:rsidR="0018691B" w:rsidRDefault="00DB019C" w:rsidP="005420AF">
      <w:pPr>
        <w:pStyle w:val="Heading1"/>
        <w:spacing w:line="480" w:lineRule="auto"/>
        <w:contextualSpacing/>
        <w:jc w:val="center"/>
      </w:pPr>
      <w:r>
        <w:lastRenderedPageBreak/>
        <w:t>References</w:t>
      </w:r>
    </w:p>
    <w:p w14:paraId="59969054" w14:textId="77777777" w:rsidR="0033183A" w:rsidRDefault="00DB019C" w:rsidP="0033183A">
      <w:pPr>
        <w:pStyle w:val="NormalWeb"/>
        <w:spacing w:before="0" w:beforeAutospacing="0" w:after="0" w:afterAutospacing="0" w:line="480" w:lineRule="auto"/>
        <w:ind w:left="720" w:hanging="720"/>
      </w:pPr>
      <w:r>
        <w:t xml:space="preserve">Chad. (2021). Extreme Impacts and Service Challenges Associated with the 10 August 2020 Midwest Derecho. </w:t>
      </w:r>
      <w:r>
        <w:rPr>
          <w:i/>
          <w:iCs/>
        </w:rPr>
        <w:t>101st Annual AMS Meeting 2021</w:t>
      </w:r>
      <w:r>
        <w:t xml:space="preserve">, </w:t>
      </w:r>
      <w:r>
        <w:rPr>
          <w:i/>
          <w:iCs/>
        </w:rPr>
        <w:t>101</w:t>
      </w:r>
      <w:r>
        <w:t>, 13.7. https://ui.adsabs.harvard.edu/abs/2021AMS...10185409K/abstract</w:t>
      </w:r>
    </w:p>
    <w:p w14:paraId="002BC7C7" w14:textId="77777777" w:rsidR="0033183A" w:rsidRDefault="00DB019C" w:rsidP="0033183A">
      <w:pPr>
        <w:pStyle w:val="NormalWeb"/>
        <w:spacing w:before="0" w:beforeAutospacing="0" w:after="0" w:afterAutospacing="0" w:line="480" w:lineRule="auto"/>
        <w:ind w:left="720" w:hanging="720"/>
      </w:pPr>
      <w:r>
        <w:t>C</w:t>
      </w:r>
      <w:r>
        <w:t>hantilas, A., El-Khattabi, A. R., Gvino, E., Downs, K., Byrne, C., Christenson-Diver, E., Ruffins, R., Worley, A., &amp; Dodds, F. (2023). Interlinkages and gaps: a review of the literature on intergovernmental relations for flood management in the face of cli</w:t>
      </w:r>
      <w:r>
        <w:t xml:space="preserve">mate change. </w:t>
      </w:r>
      <w:r>
        <w:rPr>
          <w:i/>
          <w:iCs/>
        </w:rPr>
        <w:t>Frontiers in Sustainable Cities</w:t>
      </w:r>
      <w:r>
        <w:t xml:space="preserve">, </w:t>
      </w:r>
      <w:r>
        <w:rPr>
          <w:i/>
          <w:iCs/>
        </w:rPr>
        <w:t>5</w:t>
      </w:r>
      <w:r>
        <w:t>. https://doi.org/10.3389/frsc.2023.1135513</w:t>
      </w:r>
    </w:p>
    <w:p w14:paraId="2A9BC7EE" w14:textId="77777777" w:rsidR="0033183A" w:rsidRDefault="00DB019C" w:rsidP="0033183A">
      <w:pPr>
        <w:pStyle w:val="NormalWeb"/>
        <w:spacing w:before="0" w:beforeAutospacing="0" w:after="0" w:afterAutospacing="0" w:line="480" w:lineRule="auto"/>
        <w:ind w:left="720" w:hanging="720"/>
      </w:pPr>
      <w:r>
        <w:t>Margus, C., Hertelendy, A., Tao, Y., Coltey, E., Chen, S.-C., Luis, S., Shyu, M.-L., &amp; Ciottone, G. R. (2023). United States Federal Emergency Management Agency regi</w:t>
      </w:r>
      <w:r>
        <w:t xml:space="preserve">onal clustering by disaster exposure: a new paradigm for disaster response. </w:t>
      </w:r>
      <w:r>
        <w:rPr>
          <w:i/>
          <w:iCs/>
        </w:rPr>
        <w:t>Natural Hazards</w:t>
      </w:r>
      <w:r>
        <w:t xml:space="preserve">, </w:t>
      </w:r>
      <w:r>
        <w:rPr>
          <w:i/>
          <w:iCs/>
        </w:rPr>
        <w:t>116</w:t>
      </w:r>
      <w:r>
        <w:t xml:space="preserve">(3). </w:t>
      </w:r>
      <w:hyperlink r:id="rId7" w:history="1">
        <w:r w:rsidRPr="00D12CB1">
          <w:rPr>
            <w:rStyle w:val="Hyperlink"/>
          </w:rPr>
          <w:t>https://doi.org/10.1007/s11069-023-05817-1</w:t>
        </w:r>
      </w:hyperlink>
    </w:p>
    <w:p w14:paraId="3551B680" w14:textId="77777777" w:rsidR="0033183A" w:rsidRDefault="00DB019C" w:rsidP="0033183A">
      <w:pPr>
        <w:pStyle w:val="NormalWeb"/>
        <w:spacing w:before="0" w:beforeAutospacing="0" w:after="0" w:afterAutospacing="0" w:line="480" w:lineRule="auto"/>
        <w:ind w:left="720" w:hanging="720"/>
      </w:pPr>
      <w:r>
        <w:t>Martín, C., Teles, D., &amp; DuBois, N. (2021). Understan</w:t>
      </w:r>
      <w:r>
        <w:t xml:space="preserve">ding the Pace of HUD’s Disaster Housing Recovery Efforts. </w:t>
      </w:r>
      <w:r>
        <w:rPr>
          <w:i/>
          <w:iCs/>
        </w:rPr>
        <w:t>Housing Policy Debate</w:t>
      </w:r>
      <w:r>
        <w:t>, 1–26. https://doi.org/10.1080/10511482.2021.1875258</w:t>
      </w:r>
    </w:p>
    <w:p w14:paraId="1AD327D7" w14:textId="77777777" w:rsidR="0033183A" w:rsidRDefault="00DB019C" w:rsidP="0033183A">
      <w:pPr>
        <w:pStyle w:val="NormalWeb"/>
        <w:spacing w:before="0" w:beforeAutospacing="0" w:after="0" w:afterAutospacing="0" w:line="480" w:lineRule="auto"/>
        <w:ind w:left="720" w:hanging="720"/>
      </w:pPr>
      <w:r>
        <w:t>Quach, H.-L., Khanh Cong Nguyen, &amp; Vogt, F. (2023). After-action reviews for emergency preparedness and response to infecti</w:t>
      </w:r>
      <w:r>
        <w:t xml:space="preserve">ous disease outbreaks. </w:t>
      </w:r>
      <w:r>
        <w:rPr>
          <w:i/>
          <w:iCs/>
        </w:rPr>
        <w:t>PubMed</w:t>
      </w:r>
      <w:r>
        <w:t xml:space="preserve">, </w:t>
      </w:r>
      <w:r>
        <w:rPr>
          <w:i/>
          <w:iCs/>
        </w:rPr>
        <w:t>14</w:t>
      </w:r>
      <w:r>
        <w:t>(1), 1–8. https://doi.org/10.5365/wpsar.2023.14.1.953</w:t>
      </w:r>
    </w:p>
    <w:p w14:paraId="31AC26B1" w14:textId="77777777" w:rsidR="0033183A" w:rsidRDefault="00DB019C" w:rsidP="0033183A">
      <w:pPr>
        <w:pStyle w:val="NormalWeb"/>
        <w:spacing w:before="0" w:beforeAutospacing="0" w:after="0" w:afterAutospacing="0" w:line="480" w:lineRule="auto"/>
        <w:ind w:left="720" w:hanging="720"/>
      </w:pPr>
      <w:r>
        <w:t xml:space="preserve">R. Eugene Turner. (2022). Variability in the discharge of the Mississippi River and tributaries from 1817 to 2020. </w:t>
      </w:r>
      <w:r>
        <w:rPr>
          <w:i/>
          <w:iCs/>
        </w:rPr>
        <w:t>PloS One</w:t>
      </w:r>
      <w:r>
        <w:t xml:space="preserve">, </w:t>
      </w:r>
      <w:r>
        <w:rPr>
          <w:i/>
          <w:iCs/>
        </w:rPr>
        <w:t>17</w:t>
      </w:r>
      <w:r>
        <w:t>(12), e0276513–e0276513. https://doi.org/1</w:t>
      </w:r>
      <w:r>
        <w:t>0.1371/journal.pone.0276513</w:t>
      </w:r>
    </w:p>
    <w:p w14:paraId="345527FF" w14:textId="77777777" w:rsidR="0033183A" w:rsidRDefault="00DB019C" w:rsidP="0033183A">
      <w:pPr>
        <w:pStyle w:val="NormalWeb"/>
        <w:spacing w:before="0" w:beforeAutospacing="0" w:after="0" w:afterAutospacing="0" w:line="480" w:lineRule="auto"/>
        <w:ind w:left="720" w:hanging="720"/>
      </w:pPr>
      <w:r>
        <w:lastRenderedPageBreak/>
        <w:t xml:space="preserve">Sydnes, M., Kjeve, M., &amp; Sydnes, A. K. (2025). Interorganizational coordination during emergencies and crises. </w:t>
      </w:r>
      <w:r>
        <w:rPr>
          <w:i/>
          <w:iCs/>
        </w:rPr>
        <w:t>International Journal of Disaster Risk Reduction</w:t>
      </w:r>
      <w:r>
        <w:t>, 105310. https://doi.org/10.1016/j.ijdrr.2025.105310</w:t>
      </w:r>
    </w:p>
    <w:p w14:paraId="41EC375B" w14:textId="77777777" w:rsidR="0018691B" w:rsidRDefault="00DB019C" w:rsidP="005420AF">
      <w:pPr>
        <w:pStyle w:val="NormalWeb"/>
        <w:spacing w:before="0" w:beforeAutospacing="0" w:after="0" w:afterAutospacing="0" w:line="480" w:lineRule="auto"/>
        <w:ind w:left="720" w:hanging="720"/>
      </w:pPr>
      <w:r>
        <w:t>Park, K., &amp; Kwo</w:t>
      </w:r>
      <w:r>
        <w:t xml:space="preserve">n, S. A. (2024). A study on the relationship between flood safety awareness and vulnerability/resilience. </w:t>
      </w:r>
      <w:r>
        <w:rPr>
          <w:i/>
          <w:iCs/>
        </w:rPr>
        <w:t>Heliyon</w:t>
      </w:r>
      <w:r>
        <w:t xml:space="preserve">, </w:t>
      </w:r>
      <w:r>
        <w:rPr>
          <w:i/>
          <w:iCs/>
        </w:rPr>
        <w:t>10</w:t>
      </w:r>
      <w:r>
        <w:t>(21), e39819–e39819. https://doi.org/10.1016/j.heliyon.2024.e39819</w:t>
      </w:r>
    </w:p>
    <w:p w14:paraId="1E14701C" w14:textId="77777777" w:rsidR="0018691B" w:rsidRDefault="00DB019C" w:rsidP="005420AF">
      <w:pPr>
        <w:pStyle w:val="NormalWeb"/>
        <w:spacing w:before="0" w:beforeAutospacing="0" w:after="0" w:afterAutospacing="0" w:line="480" w:lineRule="auto"/>
        <w:ind w:left="720" w:hanging="720"/>
      </w:pPr>
      <w:r>
        <w:t>Tang, P., Shao, S., Zhou, D., &amp; Hu, H. (2021). Understanding the Collabo</w:t>
      </w:r>
      <w:r>
        <w:t xml:space="preserve">rative Process and Its Effects on Perceived Outcomes during Emergency Response in China: From Perspectives of Local Government Sectors. </w:t>
      </w:r>
      <w:r>
        <w:rPr>
          <w:i/>
          <w:iCs/>
        </w:rPr>
        <w:t>Sustainability</w:t>
      </w:r>
      <w:r>
        <w:t xml:space="preserve">, </w:t>
      </w:r>
      <w:r>
        <w:rPr>
          <w:i/>
          <w:iCs/>
        </w:rPr>
        <w:t>13</w:t>
      </w:r>
      <w:r>
        <w:t>(14), 7605. https://doi.org/10.3390/su13147605</w:t>
      </w:r>
    </w:p>
    <w:p w14:paraId="111D91AE" w14:textId="77777777" w:rsidR="0018691B" w:rsidRDefault="00DB019C" w:rsidP="0018691B">
      <w:pPr>
        <w:pStyle w:val="NormalWeb"/>
        <w:spacing w:before="0" w:beforeAutospacing="0" w:after="0" w:afterAutospacing="0" w:line="480" w:lineRule="auto"/>
        <w:ind w:left="720" w:hanging="720"/>
      </w:pPr>
      <w:r>
        <w:t>Wilson, B., Tate, E., &amp; Emrich, C. T. (2021). Flood Rec</w:t>
      </w:r>
      <w:r>
        <w:t xml:space="preserve">overy Outcomes and Disaster Assistance Barriers for Vulnerable Populations. </w:t>
      </w:r>
      <w:r>
        <w:rPr>
          <w:i/>
          <w:iCs/>
        </w:rPr>
        <w:t>Frontiers in Water</w:t>
      </w:r>
      <w:r>
        <w:t xml:space="preserve">, </w:t>
      </w:r>
      <w:r>
        <w:rPr>
          <w:i/>
          <w:iCs/>
        </w:rPr>
        <w:t>3</w:t>
      </w:r>
      <w:r>
        <w:t xml:space="preserve">. </w:t>
      </w:r>
      <w:hyperlink r:id="rId8" w:history="1">
        <w:r w:rsidR="0033183A" w:rsidRPr="00D12CB1">
          <w:rPr>
            <w:rStyle w:val="Hyperlink"/>
          </w:rPr>
          <w:t>https://doi.org/10.3389/frwa.2021.752307</w:t>
        </w:r>
      </w:hyperlink>
    </w:p>
    <w:p w14:paraId="366A79D5" w14:textId="77777777" w:rsidR="0033183A" w:rsidRDefault="00DB019C" w:rsidP="0033183A">
      <w:pPr>
        <w:pStyle w:val="NormalWeb"/>
        <w:spacing w:before="0" w:beforeAutospacing="0" w:after="0" w:afterAutospacing="0" w:line="480" w:lineRule="auto"/>
        <w:ind w:left="720" w:hanging="720"/>
      </w:pPr>
      <w:r>
        <w:t>Yang, X., Yao, Y., Tian, K., Jiang, W., Xing, Q., Yang, J.,</w:t>
      </w:r>
      <w:r>
        <w:t xml:space="preserve"> &amp; Liu, C. (2023). Disaster response strategies of governments and social organizations: From the perspective of infrastructure damage and asymmetric resource dependence. </w:t>
      </w:r>
      <w:r>
        <w:rPr>
          <w:i/>
          <w:iCs/>
        </w:rPr>
        <w:t>Heliyon</w:t>
      </w:r>
      <w:r>
        <w:t xml:space="preserve">, </w:t>
      </w:r>
      <w:r>
        <w:rPr>
          <w:i/>
          <w:iCs/>
        </w:rPr>
        <w:t>9</w:t>
      </w:r>
      <w:r>
        <w:t>(10). https://doi.org/10.1016/j.heliyon.2023.e20432</w:t>
      </w:r>
    </w:p>
    <w:p w14:paraId="2DD0AE02" w14:textId="77777777" w:rsidR="0033183A" w:rsidRDefault="0033183A" w:rsidP="0018691B">
      <w:pPr>
        <w:pStyle w:val="NormalWeb"/>
        <w:spacing w:before="0" w:beforeAutospacing="0" w:after="0" w:afterAutospacing="0" w:line="480" w:lineRule="auto"/>
        <w:ind w:left="720" w:hanging="720"/>
      </w:pPr>
    </w:p>
    <w:p w14:paraId="39B03D19" w14:textId="77777777" w:rsidR="0029749B" w:rsidRDefault="0029749B" w:rsidP="00B358A9">
      <w:pPr>
        <w:pStyle w:val="NormalWeb"/>
        <w:spacing w:before="0" w:beforeAutospacing="0" w:after="0" w:afterAutospacing="0" w:line="480" w:lineRule="auto"/>
        <w:ind w:left="720" w:hanging="720"/>
        <w:contextualSpacing/>
      </w:pPr>
    </w:p>
    <w:sectPr w:rsidR="0029749B">
      <w:headerReference w:type="default" r:id="rId9"/>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8947D" w14:textId="77777777" w:rsidR="00DB019C" w:rsidRDefault="00DB019C">
      <w:r>
        <w:separator/>
      </w:r>
    </w:p>
  </w:endnote>
  <w:endnote w:type="continuationSeparator" w:id="0">
    <w:p w14:paraId="3906F09E" w14:textId="77777777" w:rsidR="00DB019C" w:rsidRDefault="00DB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F032" w14:textId="77777777" w:rsidR="00DC7DF8" w:rsidRDefault="00DC7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6E20C" w14:textId="77777777" w:rsidR="00DB019C" w:rsidRDefault="00DB019C">
      <w:r>
        <w:separator/>
      </w:r>
    </w:p>
  </w:footnote>
  <w:footnote w:type="continuationSeparator" w:id="0">
    <w:p w14:paraId="2A245EBF" w14:textId="77777777" w:rsidR="00DB019C" w:rsidRDefault="00DB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412005"/>
      <w:docPartObj>
        <w:docPartGallery w:val="Page Numbers (Top of Page)"/>
        <w:docPartUnique/>
      </w:docPartObj>
    </w:sdtPr>
    <w:sdtEndPr>
      <w:rPr>
        <w:noProof/>
      </w:rPr>
    </w:sdtEndPr>
    <w:sdtContent>
      <w:p w14:paraId="3FDA0FF0" w14:textId="77777777" w:rsidR="007D7D46" w:rsidRDefault="00DB019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A2356B" w14:textId="77777777" w:rsidR="007D7D46" w:rsidRDefault="007D7D46">
    <w:pPr>
      <w:pStyle w:val="Header"/>
    </w:pPr>
  </w:p>
  <w:p w14:paraId="08E80B70" w14:textId="77777777" w:rsidR="00C96016" w:rsidRDefault="00C96016" w:rsidP="00DE7D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1824"/>
    <w:multiLevelType w:val="hybridMultilevel"/>
    <w:tmpl w:val="8CDE8BB6"/>
    <w:lvl w:ilvl="0" w:tplc="4FA4D92C">
      <w:start w:val="1"/>
      <w:numFmt w:val="bullet"/>
      <w:lvlText w:val="●"/>
      <w:lvlJc w:val="left"/>
      <w:pPr>
        <w:ind w:left="720" w:hanging="360"/>
      </w:pPr>
    </w:lvl>
    <w:lvl w:ilvl="1" w:tplc="F494525C">
      <w:start w:val="1"/>
      <w:numFmt w:val="bullet"/>
      <w:lvlText w:val="○"/>
      <w:lvlJc w:val="left"/>
      <w:pPr>
        <w:ind w:left="1440" w:hanging="360"/>
      </w:pPr>
    </w:lvl>
    <w:lvl w:ilvl="2" w:tplc="12C8E6C4">
      <w:start w:val="1"/>
      <w:numFmt w:val="bullet"/>
      <w:lvlText w:val="■"/>
      <w:lvlJc w:val="left"/>
      <w:pPr>
        <w:ind w:left="2160" w:hanging="360"/>
      </w:pPr>
    </w:lvl>
    <w:lvl w:ilvl="3" w:tplc="90382F98">
      <w:start w:val="1"/>
      <w:numFmt w:val="bullet"/>
      <w:lvlText w:val="●"/>
      <w:lvlJc w:val="left"/>
      <w:pPr>
        <w:ind w:left="2880" w:hanging="360"/>
      </w:pPr>
    </w:lvl>
    <w:lvl w:ilvl="4" w:tplc="2032653A">
      <w:start w:val="1"/>
      <w:numFmt w:val="bullet"/>
      <w:lvlText w:val="○"/>
      <w:lvlJc w:val="left"/>
      <w:pPr>
        <w:ind w:left="3600" w:hanging="360"/>
      </w:pPr>
    </w:lvl>
    <w:lvl w:ilvl="5" w:tplc="0254B3CC">
      <w:start w:val="1"/>
      <w:numFmt w:val="bullet"/>
      <w:lvlText w:val="■"/>
      <w:lvlJc w:val="left"/>
      <w:pPr>
        <w:ind w:left="4320" w:hanging="360"/>
      </w:pPr>
    </w:lvl>
    <w:lvl w:ilvl="6" w:tplc="1408F0CC">
      <w:start w:val="1"/>
      <w:numFmt w:val="bullet"/>
      <w:lvlText w:val="●"/>
      <w:lvlJc w:val="left"/>
      <w:pPr>
        <w:ind w:left="5040" w:hanging="360"/>
      </w:pPr>
    </w:lvl>
    <w:lvl w:ilvl="7" w:tplc="7BC4962A">
      <w:start w:val="1"/>
      <w:numFmt w:val="bullet"/>
      <w:lvlText w:val="●"/>
      <w:lvlJc w:val="left"/>
      <w:pPr>
        <w:ind w:left="5760" w:hanging="360"/>
      </w:pPr>
    </w:lvl>
    <w:lvl w:ilvl="8" w:tplc="37DC6B38">
      <w:start w:val="1"/>
      <w:numFmt w:val="bullet"/>
      <w:lvlText w:val="●"/>
      <w:lvlJc w:val="left"/>
      <w:pPr>
        <w:ind w:left="6480" w:hanging="360"/>
      </w:pPr>
    </w:lvl>
  </w:abstractNum>
  <w:abstractNum w:abstractNumId="1" w15:restartNumberingAfterBreak="0">
    <w:nsid w:val="284D496F"/>
    <w:multiLevelType w:val="multilevel"/>
    <w:tmpl w:val="CC58C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833803"/>
    <w:multiLevelType w:val="hybridMultilevel"/>
    <w:tmpl w:val="F6500DC2"/>
    <w:lvl w:ilvl="0" w:tplc="6AC2337A">
      <w:start w:val="1"/>
      <w:numFmt w:val="decimal"/>
      <w:lvlText w:val="%1."/>
      <w:lvlJc w:val="left"/>
      <w:pPr>
        <w:ind w:left="1080" w:hanging="360"/>
      </w:pPr>
      <w:rPr>
        <w:rFonts w:hint="default"/>
      </w:rPr>
    </w:lvl>
    <w:lvl w:ilvl="1" w:tplc="383CAB04" w:tentative="1">
      <w:start w:val="1"/>
      <w:numFmt w:val="lowerLetter"/>
      <w:lvlText w:val="%2."/>
      <w:lvlJc w:val="left"/>
      <w:pPr>
        <w:ind w:left="1800" w:hanging="360"/>
      </w:pPr>
    </w:lvl>
    <w:lvl w:ilvl="2" w:tplc="3E48C402" w:tentative="1">
      <w:start w:val="1"/>
      <w:numFmt w:val="lowerRoman"/>
      <w:lvlText w:val="%3."/>
      <w:lvlJc w:val="right"/>
      <w:pPr>
        <w:ind w:left="2520" w:hanging="180"/>
      </w:pPr>
    </w:lvl>
    <w:lvl w:ilvl="3" w:tplc="123CF0E0" w:tentative="1">
      <w:start w:val="1"/>
      <w:numFmt w:val="decimal"/>
      <w:lvlText w:val="%4."/>
      <w:lvlJc w:val="left"/>
      <w:pPr>
        <w:ind w:left="3240" w:hanging="360"/>
      </w:pPr>
    </w:lvl>
    <w:lvl w:ilvl="4" w:tplc="83283CE2" w:tentative="1">
      <w:start w:val="1"/>
      <w:numFmt w:val="lowerLetter"/>
      <w:lvlText w:val="%5."/>
      <w:lvlJc w:val="left"/>
      <w:pPr>
        <w:ind w:left="3960" w:hanging="360"/>
      </w:pPr>
    </w:lvl>
    <w:lvl w:ilvl="5" w:tplc="F3025C7A" w:tentative="1">
      <w:start w:val="1"/>
      <w:numFmt w:val="lowerRoman"/>
      <w:lvlText w:val="%6."/>
      <w:lvlJc w:val="right"/>
      <w:pPr>
        <w:ind w:left="4680" w:hanging="180"/>
      </w:pPr>
    </w:lvl>
    <w:lvl w:ilvl="6" w:tplc="47E0AD88" w:tentative="1">
      <w:start w:val="1"/>
      <w:numFmt w:val="decimal"/>
      <w:lvlText w:val="%7."/>
      <w:lvlJc w:val="left"/>
      <w:pPr>
        <w:ind w:left="5400" w:hanging="360"/>
      </w:pPr>
    </w:lvl>
    <w:lvl w:ilvl="7" w:tplc="EEF25194" w:tentative="1">
      <w:start w:val="1"/>
      <w:numFmt w:val="lowerLetter"/>
      <w:lvlText w:val="%8."/>
      <w:lvlJc w:val="left"/>
      <w:pPr>
        <w:ind w:left="6120" w:hanging="360"/>
      </w:pPr>
    </w:lvl>
    <w:lvl w:ilvl="8" w:tplc="037E5E66" w:tentative="1">
      <w:start w:val="1"/>
      <w:numFmt w:val="lowerRoman"/>
      <w:lvlText w:val="%9."/>
      <w:lvlJc w:val="right"/>
      <w:pPr>
        <w:ind w:left="6840" w:hanging="180"/>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Q0sjSzNDYyMzM3MTRU0lEKTi0uzszPAykwqgUAA0nyDSwAAAA="/>
  </w:docVars>
  <w:rsids>
    <w:rsidRoot w:val="0029749B"/>
    <w:rsid w:val="00085B39"/>
    <w:rsid w:val="0009351B"/>
    <w:rsid w:val="001013F6"/>
    <w:rsid w:val="00112B55"/>
    <w:rsid w:val="00182F70"/>
    <w:rsid w:val="0018691B"/>
    <w:rsid w:val="00193A45"/>
    <w:rsid w:val="001B478B"/>
    <w:rsid w:val="00263BF1"/>
    <w:rsid w:val="00286257"/>
    <w:rsid w:val="0029749B"/>
    <w:rsid w:val="002A0783"/>
    <w:rsid w:val="002A4F2F"/>
    <w:rsid w:val="002A61DC"/>
    <w:rsid w:val="002D6F88"/>
    <w:rsid w:val="002F30A8"/>
    <w:rsid w:val="0032418A"/>
    <w:rsid w:val="00324261"/>
    <w:rsid w:val="0033183A"/>
    <w:rsid w:val="00352410"/>
    <w:rsid w:val="003A19EF"/>
    <w:rsid w:val="003D35DB"/>
    <w:rsid w:val="003F3490"/>
    <w:rsid w:val="004061AB"/>
    <w:rsid w:val="004675A3"/>
    <w:rsid w:val="00480A5A"/>
    <w:rsid w:val="004C5DFB"/>
    <w:rsid w:val="004C7B26"/>
    <w:rsid w:val="004E40B3"/>
    <w:rsid w:val="005420AF"/>
    <w:rsid w:val="00546CE3"/>
    <w:rsid w:val="00553281"/>
    <w:rsid w:val="005B0C59"/>
    <w:rsid w:val="005C00D4"/>
    <w:rsid w:val="005D737D"/>
    <w:rsid w:val="005E6A22"/>
    <w:rsid w:val="00613C15"/>
    <w:rsid w:val="006447D3"/>
    <w:rsid w:val="006745CE"/>
    <w:rsid w:val="006D0516"/>
    <w:rsid w:val="006F4343"/>
    <w:rsid w:val="00745A5E"/>
    <w:rsid w:val="0078328A"/>
    <w:rsid w:val="007D7D46"/>
    <w:rsid w:val="00874472"/>
    <w:rsid w:val="008A0D19"/>
    <w:rsid w:val="008E2B3C"/>
    <w:rsid w:val="00915A7D"/>
    <w:rsid w:val="009B78B4"/>
    <w:rsid w:val="00A74439"/>
    <w:rsid w:val="00A74868"/>
    <w:rsid w:val="00A74F8E"/>
    <w:rsid w:val="00A823D0"/>
    <w:rsid w:val="00A94D5A"/>
    <w:rsid w:val="00AD6906"/>
    <w:rsid w:val="00B17BE5"/>
    <w:rsid w:val="00B358A9"/>
    <w:rsid w:val="00B564A7"/>
    <w:rsid w:val="00B921EF"/>
    <w:rsid w:val="00BA3EF8"/>
    <w:rsid w:val="00C257FA"/>
    <w:rsid w:val="00C33C14"/>
    <w:rsid w:val="00C36FFF"/>
    <w:rsid w:val="00C40F6E"/>
    <w:rsid w:val="00C75637"/>
    <w:rsid w:val="00C83370"/>
    <w:rsid w:val="00C96016"/>
    <w:rsid w:val="00CA63EE"/>
    <w:rsid w:val="00CA787A"/>
    <w:rsid w:val="00D12CB1"/>
    <w:rsid w:val="00D769BF"/>
    <w:rsid w:val="00D858C4"/>
    <w:rsid w:val="00DB019C"/>
    <w:rsid w:val="00DB7EE5"/>
    <w:rsid w:val="00DC4ED0"/>
    <w:rsid w:val="00DC7DF8"/>
    <w:rsid w:val="00DE7DB2"/>
    <w:rsid w:val="00E1478D"/>
    <w:rsid w:val="00E5227F"/>
    <w:rsid w:val="00E53727"/>
    <w:rsid w:val="00E8292E"/>
    <w:rsid w:val="00E95F1A"/>
    <w:rsid w:val="00E97D22"/>
    <w:rsid w:val="00EB7379"/>
    <w:rsid w:val="00EC2CC7"/>
    <w:rsid w:val="00EF3F95"/>
    <w:rsid w:val="00EF42BD"/>
    <w:rsid w:val="00EF5A6B"/>
    <w:rsid w:val="00F76EC1"/>
    <w:rsid w:val="00F848E4"/>
    <w:rsid w:val="00FB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07CF"/>
  <w15:docId w15:val="{E66F2EC0-6600-486C-AD38-173D0B8C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color w:val="000000"/>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D7D46"/>
    <w:pPr>
      <w:tabs>
        <w:tab w:val="center" w:pos="4680"/>
        <w:tab w:val="right" w:pos="9360"/>
      </w:tabs>
    </w:pPr>
  </w:style>
  <w:style w:type="character" w:customStyle="1" w:styleId="HeaderChar">
    <w:name w:val="Header Char"/>
    <w:basedOn w:val="DefaultParagraphFont"/>
    <w:link w:val="Header"/>
    <w:uiPriority w:val="99"/>
    <w:rsid w:val="007D7D46"/>
  </w:style>
  <w:style w:type="paragraph" w:styleId="Footer">
    <w:name w:val="footer"/>
    <w:basedOn w:val="Normal"/>
    <w:link w:val="FooterChar"/>
    <w:uiPriority w:val="99"/>
    <w:unhideWhenUsed/>
    <w:rsid w:val="007D7D46"/>
    <w:pPr>
      <w:tabs>
        <w:tab w:val="center" w:pos="4680"/>
        <w:tab w:val="right" w:pos="9360"/>
      </w:tabs>
    </w:pPr>
  </w:style>
  <w:style w:type="character" w:customStyle="1" w:styleId="FooterChar">
    <w:name w:val="Footer Char"/>
    <w:basedOn w:val="DefaultParagraphFont"/>
    <w:link w:val="Footer"/>
    <w:uiPriority w:val="99"/>
    <w:rsid w:val="007D7D46"/>
  </w:style>
  <w:style w:type="paragraph" w:styleId="NormalWeb">
    <w:name w:val="Normal (Web)"/>
    <w:basedOn w:val="Normal"/>
    <w:uiPriority w:val="99"/>
    <w:unhideWhenUsed/>
    <w:rsid w:val="00C33C14"/>
    <w:pPr>
      <w:spacing w:before="100" w:beforeAutospacing="1" w:after="100" w:afterAutospacing="1"/>
    </w:pPr>
  </w:style>
  <w:style w:type="character" w:styleId="UnresolvedMention">
    <w:name w:val="Unresolved Mention"/>
    <w:basedOn w:val="DefaultParagraphFont"/>
    <w:uiPriority w:val="99"/>
    <w:semiHidden/>
    <w:unhideWhenUsed/>
    <w:rsid w:val="00C33C14"/>
    <w:rPr>
      <w:color w:val="605E5C"/>
      <w:shd w:val="clear" w:color="auto" w:fill="E1DFDD"/>
    </w:rPr>
  </w:style>
  <w:style w:type="character" w:styleId="CommentReference">
    <w:name w:val="annotation reference"/>
    <w:basedOn w:val="DefaultParagraphFont"/>
    <w:uiPriority w:val="99"/>
    <w:semiHidden/>
    <w:unhideWhenUsed/>
    <w:rsid w:val="00C40F6E"/>
    <w:rPr>
      <w:sz w:val="16"/>
      <w:szCs w:val="16"/>
    </w:rPr>
  </w:style>
  <w:style w:type="paragraph" w:styleId="CommentText">
    <w:name w:val="annotation text"/>
    <w:basedOn w:val="Normal"/>
    <w:link w:val="CommentTextChar"/>
    <w:uiPriority w:val="99"/>
    <w:unhideWhenUsed/>
    <w:rsid w:val="00C40F6E"/>
    <w:rPr>
      <w:sz w:val="20"/>
      <w:szCs w:val="20"/>
    </w:rPr>
  </w:style>
  <w:style w:type="character" w:customStyle="1" w:styleId="CommentTextChar">
    <w:name w:val="Comment Text Char"/>
    <w:basedOn w:val="DefaultParagraphFont"/>
    <w:link w:val="CommentText"/>
    <w:uiPriority w:val="99"/>
    <w:rsid w:val="00C40F6E"/>
    <w:rPr>
      <w:sz w:val="20"/>
      <w:szCs w:val="20"/>
    </w:rPr>
  </w:style>
  <w:style w:type="paragraph" w:styleId="CommentSubject">
    <w:name w:val="annotation subject"/>
    <w:basedOn w:val="CommentText"/>
    <w:next w:val="CommentText"/>
    <w:link w:val="CommentSubjectChar"/>
    <w:uiPriority w:val="99"/>
    <w:semiHidden/>
    <w:unhideWhenUsed/>
    <w:rsid w:val="00C40F6E"/>
    <w:rPr>
      <w:b/>
      <w:bCs/>
    </w:rPr>
  </w:style>
  <w:style w:type="character" w:customStyle="1" w:styleId="CommentSubjectChar">
    <w:name w:val="Comment Subject Char"/>
    <w:basedOn w:val="CommentTextChar"/>
    <w:link w:val="CommentSubject"/>
    <w:uiPriority w:val="99"/>
    <w:semiHidden/>
    <w:rsid w:val="00C40F6E"/>
    <w:rPr>
      <w:b/>
      <w:bCs/>
      <w:sz w:val="20"/>
      <w:szCs w:val="20"/>
    </w:rPr>
  </w:style>
  <w:style w:type="character" w:customStyle="1" w:styleId="cursor-pointer">
    <w:name w:val="cursor-pointer"/>
    <w:basedOn w:val="DefaultParagraphFont"/>
    <w:rsid w:val="00BA3EF8"/>
  </w:style>
  <w:style w:type="paragraph" w:styleId="BodyText">
    <w:name w:val="Body Text"/>
    <w:basedOn w:val="Normal"/>
    <w:link w:val="BodyTextChar"/>
    <w:uiPriority w:val="1"/>
    <w:qFormat/>
    <w:rsid w:val="009B78B4"/>
    <w:pPr>
      <w:widowControl w:val="0"/>
      <w:autoSpaceDE w:val="0"/>
      <w:autoSpaceDN w:val="0"/>
    </w:pPr>
    <w:rPr>
      <w:rFonts w:ascii="Calibri" w:eastAsia="Calibri" w:hAnsi="Calibri" w:cs="Calibri"/>
      <w:i/>
      <w:iCs/>
      <w:sz w:val="22"/>
      <w:szCs w:val="22"/>
    </w:rPr>
  </w:style>
  <w:style w:type="character" w:customStyle="1" w:styleId="BodyTextChar">
    <w:name w:val="Body Text Char"/>
    <w:basedOn w:val="DefaultParagraphFont"/>
    <w:link w:val="BodyText"/>
    <w:uiPriority w:val="1"/>
    <w:rsid w:val="009B78B4"/>
    <w:rPr>
      <w:rFonts w:ascii="Calibri" w:eastAsia="Calibri" w:hAnsi="Calibri" w:cs="Calibri"/>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3389/frwa.2021.752307" TargetMode="External"/><Relationship Id="rId3" Type="http://schemas.openxmlformats.org/officeDocument/2006/relationships/settings" Target="settings.xml"/><Relationship Id="rId7" Type="http://schemas.openxmlformats.org/officeDocument/2006/relationships/hyperlink" Target="https://doi.org/10.1007/s11069-023-0581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3355</Words>
  <Characters>19128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2026-04-30T12:31:00Z</dcterms:created>
  <dcterms:modified xsi:type="dcterms:W3CDTF">2026-04-30T12:37:00Z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7e234780-079d-4ed4-8058-47b7120809f5</vt:lpwstr>
  </property>
</Properties>
</file>