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D4ABE" w14:textId="77777777" w:rsidR="0029749B" w:rsidRDefault="002A4F2F" w:rsidP="00BA3EF8">
      <w:pPr>
        <w:spacing w:before="2880" w:after="240" w:line="480" w:lineRule="auto"/>
        <w:contextualSpacing/>
        <w:jc w:val="center"/>
      </w:pPr>
      <w:r>
        <w:rPr>
          <w:b/>
          <w:bCs/>
          <w:sz w:val="28"/>
          <w:szCs w:val="28"/>
        </w:rPr>
        <w:t>Research Design</w:t>
      </w:r>
    </w:p>
    <w:p w14:paraId="24391039" w14:textId="15274DD7" w:rsidR="0029749B" w:rsidRDefault="00EF5A6B" w:rsidP="00BA3EF8">
      <w:pPr>
        <w:spacing w:before="1440" w:after="240" w:line="480" w:lineRule="auto"/>
        <w:contextualSpacing/>
        <w:jc w:val="center"/>
      </w:pPr>
      <w:r>
        <w:t>Keith Linville</w:t>
      </w:r>
    </w:p>
    <w:p w14:paraId="6DC64F98" w14:textId="77777777" w:rsidR="00EF5A6B" w:rsidRDefault="00EF5A6B" w:rsidP="00BA3EF8">
      <w:pPr>
        <w:spacing w:after="240" w:line="480" w:lineRule="auto"/>
        <w:contextualSpacing/>
        <w:jc w:val="center"/>
      </w:pPr>
      <w:r>
        <w:t>L34610434</w:t>
      </w:r>
    </w:p>
    <w:p w14:paraId="2028F2DD" w14:textId="09924E24" w:rsidR="0029749B" w:rsidRDefault="002A4F2F" w:rsidP="00BA3EF8">
      <w:pPr>
        <w:spacing w:after="240" w:line="480" w:lineRule="auto"/>
        <w:contextualSpacing/>
        <w:jc w:val="center"/>
      </w:pPr>
      <w:r>
        <w:t xml:space="preserve">Doctor of Public </w:t>
      </w:r>
      <w:proofErr w:type="gramStart"/>
      <w:r>
        <w:t xml:space="preserve">Administration </w:t>
      </w:r>
      <w:r w:rsidR="00EF5A6B">
        <w:t xml:space="preserve"> (</w:t>
      </w:r>
      <w:proofErr w:type="gramEnd"/>
      <w:r w:rsidR="00EF5A6B">
        <w:t>DPA)</w:t>
      </w:r>
    </w:p>
    <w:p w14:paraId="76B6720F" w14:textId="13876416" w:rsidR="0029749B" w:rsidRDefault="00EF5A6B" w:rsidP="00BA3EF8">
      <w:pPr>
        <w:spacing w:line="480" w:lineRule="auto"/>
        <w:contextualSpacing/>
      </w:pPr>
      <w:r>
        <w:br w:type="page"/>
      </w:r>
    </w:p>
    <w:p w14:paraId="6C806723" w14:textId="0FBD9347" w:rsidR="0029749B" w:rsidRDefault="002A4F2F" w:rsidP="00BA3EF8">
      <w:pPr>
        <w:pStyle w:val="Heading1"/>
        <w:spacing w:line="480" w:lineRule="auto"/>
        <w:contextualSpacing/>
        <w:jc w:val="center"/>
      </w:pPr>
      <w:r>
        <w:lastRenderedPageBreak/>
        <w:t>Introduction and Research Questions</w:t>
      </w:r>
    </w:p>
    <w:p w14:paraId="3EBAFB26" w14:textId="2A709141" w:rsidR="00BA3EF8" w:rsidRDefault="00BA3EF8" w:rsidP="00BA3EF8">
      <w:pPr>
        <w:pStyle w:val="Heading1"/>
        <w:spacing w:line="480" w:lineRule="auto"/>
        <w:ind w:firstLine="720"/>
        <w:contextualSpacing/>
        <w:rPr>
          <w:b w:val="0"/>
          <w:bCs w:val="0"/>
        </w:rPr>
      </w:pPr>
      <w:r w:rsidRPr="00BA3EF8">
        <w:rPr>
          <w:rStyle w:val="cursor-pointer"/>
          <w:b w:val="0"/>
          <w:bCs w:val="0"/>
        </w:rPr>
        <w:t>The capstone project will explore the outcomes of disaster recovery in three Midwestern states in the U.S.: Illinois, Indiana, and Wisconsin.</w:t>
      </w:r>
      <w:r w:rsidRPr="00BA3EF8">
        <w:rPr>
          <w:b w:val="0"/>
          <w:bCs w:val="0"/>
        </w:rPr>
        <w:t xml:space="preserve"> </w:t>
      </w:r>
      <w:r w:rsidRPr="00BA3EF8">
        <w:rPr>
          <w:rStyle w:val="cursor-pointer"/>
          <w:b w:val="0"/>
          <w:bCs w:val="0"/>
        </w:rPr>
        <w:t>These states offer a comparatively significant selection of case studies due to their similarity in geographic exposure to climate-related risks, including inland flooding, tornado events related to the changing phenomena of the tornado alley</w:t>
      </w:r>
      <w:r>
        <w:rPr>
          <w:rStyle w:val="cursor-pointer"/>
          <w:b w:val="0"/>
          <w:bCs w:val="0"/>
        </w:rPr>
        <w:t>,</w:t>
      </w:r>
      <w:r w:rsidRPr="00BA3EF8">
        <w:rPr>
          <w:rStyle w:val="cursor-pointer"/>
          <w:b w:val="0"/>
          <w:bCs w:val="0"/>
        </w:rPr>
        <w:t xml:space="preserve"> and extreme cold weather conditions associated with the polar vortex phenomena.</w:t>
      </w:r>
      <w:r w:rsidRPr="00BA3EF8">
        <w:rPr>
          <w:b w:val="0"/>
          <w:bCs w:val="0"/>
        </w:rPr>
        <w:t xml:space="preserve"> </w:t>
      </w:r>
      <w:r w:rsidRPr="00BA3EF8">
        <w:rPr>
          <w:rStyle w:val="cursor-pointer"/>
          <w:b w:val="0"/>
          <w:bCs w:val="0"/>
        </w:rPr>
        <w:t xml:space="preserve">Although these environmental risks are similar, the states vary in a lot of ways </w:t>
      </w:r>
      <w:r>
        <w:rPr>
          <w:rStyle w:val="cursor-pointer"/>
          <w:b w:val="0"/>
          <w:bCs w:val="0"/>
        </w:rPr>
        <w:t>about</w:t>
      </w:r>
      <w:r w:rsidRPr="00BA3EF8">
        <w:rPr>
          <w:rStyle w:val="cursor-pointer"/>
          <w:b w:val="0"/>
          <w:bCs w:val="0"/>
        </w:rPr>
        <w:t xml:space="preserve"> governance structures, administrative capacity</w:t>
      </w:r>
      <w:r>
        <w:rPr>
          <w:rStyle w:val="cursor-pointer"/>
          <w:b w:val="0"/>
          <w:bCs w:val="0"/>
        </w:rPr>
        <w:t>,</w:t>
      </w:r>
      <w:r w:rsidRPr="00BA3EF8">
        <w:rPr>
          <w:rStyle w:val="cursor-pointer"/>
          <w:b w:val="0"/>
          <w:bCs w:val="0"/>
        </w:rPr>
        <w:t xml:space="preserve"> and systems of interagency coordination</w:t>
      </w:r>
      <w:r>
        <w:rPr>
          <w:rStyle w:val="cursor-pointer"/>
          <w:b w:val="0"/>
          <w:bCs w:val="0"/>
        </w:rPr>
        <w:t>;</w:t>
      </w:r>
      <w:r w:rsidRPr="00BA3EF8">
        <w:rPr>
          <w:rStyle w:val="cursor-pointer"/>
          <w:b w:val="0"/>
          <w:bCs w:val="0"/>
        </w:rPr>
        <w:t xml:space="preserve"> therefore, they are appropriate to understand the effects of institutional variation on the equity of disaster recovery.</w:t>
      </w:r>
      <w:r w:rsidRPr="00BA3EF8">
        <w:rPr>
          <w:b w:val="0"/>
          <w:bCs w:val="0"/>
        </w:rPr>
        <w:t xml:space="preserve"> </w:t>
      </w:r>
      <w:r w:rsidRPr="00BA3EF8">
        <w:rPr>
          <w:rStyle w:val="cursor-pointer"/>
          <w:b w:val="0"/>
          <w:bCs w:val="0"/>
        </w:rPr>
        <w:t>This research, in its essence, explores the impact of the context of governance on equitable disaster recovery results in various types of hazards and administrative regimes.</w:t>
      </w:r>
      <w:r w:rsidRPr="00BA3EF8">
        <w:rPr>
          <w:b w:val="0"/>
          <w:bCs w:val="0"/>
        </w:rPr>
        <w:t xml:space="preserve"> </w:t>
      </w:r>
      <w:r w:rsidRPr="00BA3EF8">
        <w:rPr>
          <w:rStyle w:val="cursor-pointer"/>
          <w:b w:val="0"/>
          <w:bCs w:val="0"/>
        </w:rPr>
        <w:t>Disaster recovery equity can be defined as how equally and consistently various socio-economic groups can gain access to emergency support, long-term recovery services, and recovery support after disasters.</w:t>
      </w:r>
      <w:r w:rsidRPr="00BA3EF8">
        <w:rPr>
          <w:b w:val="0"/>
          <w:bCs w:val="0"/>
        </w:rPr>
        <w:t xml:space="preserve"> </w:t>
      </w:r>
      <w:r w:rsidRPr="00BA3EF8">
        <w:rPr>
          <w:rStyle w:val="cursor-pointer"/>
          <w:b w:val="0"/>
          <w:bCs w:val="0"/>
        </w:rPr>
        <w:t>Federal agencies, including the Department of Homeland Security (DHS) and FEMA, have been trying to standardize and coordinate the response to disasters among jurisdictions, but the ongoing disparities in recovery efforts suggest that institutional and governance differences are still critical factors determining who will recover fast and who will be left behind.</w:t>
      </w:r>
      <w:r w:rsidRPr="00BA3EF8">
        <w:rPr>
          <w:b w:val="0"/>
          <w:bCs w:val="0"/>
        </w:rPr>
        <w:t xml:space="preserve"> </w:t>
      </w:r>
    </w:p>
    <w:p w14:paraId="431DB80D" w14:textId="77777777" w:rsidR="00BA3EF8" w:rsidRPr="00BA3EF8" w:rsidRDefault="00BA3EF8" w:rsidP="00BA3EF8">
      <w:pPr>
        <w:pStyle w:val="Heading1"/>
        <w:spacing w:line="480" w:lineRule="auto"/>
        <w:contextualSpacing/>
      </w:pPr>
      <w:r w:rsidRPr="00BA3EF8">
        <w:rPr>
          <w:rStyle w:val="cursor-pointer"/>
        </w:rPr>
        <w:t>Central Research Problem</w:t>
      </w:r>
      <w:r w:rsidRPr="00BA3EF8">
        <w:t xml:space="preserve"> </w:t>
      </w:r>
    </w:p>
    <w:p w14:paraId="0F17418C" w14:textId="71BA37E9" w:rsidR="00BA3EF8" w:rsidRDefault="00BA3EF8" w:rsidP="00BA3EF8">
      <w:pPr>
        <w:pStyle w:val="Heading1"/>
        <w:spacing w:line="480" w:lineRule="auto"/>
        <w:ind w:firstLine="720"/>
        <w:contextualSpacing/>
        <w:rPr>
          <w:b w:val="0"/>
          <w:bCs w:val="0"/>
        </w:rPr>
      </w:pPr>
      <w:r w:rsidRPr="00BA3EF8">
        <w:rPr>
          <w:rStyle w:val="cursor-pointer"/>
          <w:b w:val="0"/>
          <w:bCs w:val="0"/>
        </w:rPr>
        <w:t>The main issue covered in this capstone paper is the continuing lack of consistency and fairness in the outcomes of post-disaster recovery in various state systems of governance in the United States.</w:t>
      </w:r>
      <w:r w:rsidRPr="00BA3EF8">
        <w:rPr>
          <w:b w:val="0"/>
          <w:bCs w:val="0"/>
        </w:rPr>
        <w:t xml:space="preserve"> </w:t>
      </w:r>
      <w:r w:rsidRPr="00BA3EF8">
        <w:rPr>
          <w:rStyle w:val="cursor-pointer"/>
          <w:b w:val="0"/>
          <w:bCs w:val="0"/>
        </w:rPr>
        <w:t>Even though there is a centralized federal framework of disaster management, the recovery operations are not equally fast, resource-distributed, and effective across regions.</w:t>
      </w:r>
      <w:r w:rsidRPr="00BA3EF8">
        <w:rPr>
          <w:b w:val="0"/>
          <w:bCs w:val="0"/>
        </w:rPr>
        <w:t xml:space="preserve"> </w:t>
      </w:r>
      <w:r w:rsidRPr="00BA3EF8">
        <w:rPr>
          <w:rStyle w:val="cursor-pointer"/>
          <w:b w:val="0"/>
          <w:bCs w:val="0"/>
        </w:rPr>
        <w:t xml:space="preserve">Such a discrepancy is especially worrying since the effects of disasters are not uniformly distributed to </w:t>
      </w:r>
      <w:r w:rsidRPr="00BA3EF8">
        <w:rPr>
          <w:rStyle w:val="cursor-pointer"/>
          <w:b w:val="0"/>
          <w:bCs w:val="0"/>
        </w:rPr>
        <w:lastRenderedPageBreak/>
        <w:t>all populations; the socially vulnerable groups</w:t>
      </w:r>
      <w:r>
        <w:rPr>
          <w:rStyle w:val="cursor-pointer"/>
          <w:b w:val="0"/>
          <w:bCs w:val="0"/>
        </w:rPr>
        <w:t>,</w:t>
      </w:r>
      <w:r w:rsidRPr="00BA3EF8">
        <w:rPr>
          <w:rStyle w:val="cursor-pointer"/>
          <w:b w:val="0"/>
          <w:bCs w:val="0"/>
        </w:rPr>
        <w:t xml:space="preserve"> such as low-income families, the aged population, and marginalized populations</w:t>
      </w:r>
      <w:r>
        <w:rPr>
          <w:rStyle w:val="cursor-pointer"/>
          <w:b w:val="0"/>
          <w:bCs w:val="0"/>
        </w:rPr>
        <w:t>,</w:t>
      </w:r>
      <w:r w:rsidRPr="00BA3EF8">
        <w:rPr>
          <w:rStyle w:val="cursor-pointer"/>
          <w:b w:val="0"/>
          <w:bCs w:val="0"/>
        </w:rPr>
        <w:t xml:space="preserve"> are disproportionately affected by recovery assistance delays </w:t>
      </w:r>
      <w:r w:rsidR="00C36FFF" w:rsidRPr="00C36FFF">
        <w:rPr>
          <w:rStyle w:val="cursor-pointer"/>
          <w:b w:val="0"/>
          <w:bCs w:val="0"/>
        </w:rPr>
        <w:t>(</w:t>
      </w:r>
      <w:proofErr w:type="spellStart"/>
      <w:r w:rsidR="00C36FFF" w:rsidRPr="00C36FFF">
        <w:rPr>
          <w:rStyle w:val="cursor-pointer"/>
          <w:b w:val="0"/>
          <w:bCs w:val="0"/>
        </w:rPr>
        <w:t>Prete</w:t>
      </w:r>
      <w:proofErr w:type="spellEnd"/>
      <w:r w:rsidR="00C36FFF" w:rsidRPr="00C36FFF">
        <w:rPr>
          <w:rStyle w:val="cursor-pointer"/>
          <w:b w:val="0"/>
          <w:bCs w:val="0"/>
        </w:rPr>
        <w:t xml:space="preserve"> et al., 2025)</w:t>
      </w:r>
      <w:r w:rsidR="00C36FFF">
        <w:rPr>
          <w:rStyle w:val="cursor-pointer"/>
          <w:b w:val="0"/>
          <w:bCs w:val="0"/>
        </w:rPr>
        <w:t xml:space="preserve">. </w:t>
      </w:r>
      <w:r w:rsidRPr="00BA3EF8">
        <w:rPr>
          <w:rStyle w:val="cursor-pointer"/>
          <w:b w:val="0"/>
          <w:bCs w:val="0"/>
        </w:rPr>
        <w:t>Theoretically, federal disaster governance is intended to help mitigate these disparities by providing standard funding systems, intergovernmental response systems, and allocating resources equally.</w:t>
      </w:r>
      <w:r w:rsidRPr="00BA3EF8">
        <w:rPr>
          <w:b w:val="0"/>
          <w:bCs w:val="0"/>
        </w:rPr>
        <w:t xml:space="preserve"> </w:t>
      </w:r>
      <w:r w:rsidRPr="00BA3EF8">
        <w:rPr>
          <w:rStyle w:val="cursor-pointer"/>
          <w:b w:val="0"/>
          <w:bCs w:val="0"/>
        </w:rPr>
        <w:t>Nevertheless, in reality, the disaster recovery is influenced by the complex interaction between the federal programs and state-level governance capacities and local administrative efficiencies.</w:t>
      </w:r>
      <w:r w:rsidRPr="00BA3EF8">
        <w:rPr>
          <w:b w:val="0"/>
          <w:bCs w:val="0"/>
        </w:rPr>
        <w:t xml:space="preserve"> </w:t>
      </w:r>
      <w:r w:rsidRPr="00BA3EF8">
        <w:rPr>
          <w:rStyle w:val="cursor-pointer"/>
          <w:b w:val="0"/>
          <w:bCs w:val="0"/>
        </w:rPr>
        <w:t>The consequence of such interactions is usually a broken implementation process, slow delivery of aid</w:t>
      </w:r>
      <w:r>
        <w:rPr>
          <w:rStyle w:val="cursor-pointer"/>
          <w:b w:val="0"/>
          <w:bCs w:val="0"/>
        </w:rPr>
        <w:t>,</w:t>
      </w:r>
      <w:r w:rsidRPr="00BA3EF8">
        <w:rPr>
          <w:rStyle w:val="cursor-pointer"/>
          <w:b w:val="0"/>
          <w:bCs w:val="0"/>
        </w:rPr>
        <w:t xml:space="preserve"> and uneven recovery paths.</w:t>
      </w:r>
      <w:r w:rsidRPr="00BA3EF8">
        <w:rPr>
          <w:b w:val="0"/>
          <w:bCs w:val="0"/>
        </w:rPr>
        <w:t xml:space="preserve"> </w:t>
      </w:r>
      <w:r w:rsidRPr="00BA3EF8">
        <w:rPr>
          <w:rStyle w:val="cursor-pointer"/>
          <w:b w:val="0"/>
          <w:bCs w:val="0"/>
        </w:rPr>
        <w:t xml:space="preserve">Consequently, two communities with similar catastrophe occurrences can </w:t>
      </w:r>
      <w:r>
        <w:rPr>
          <w:rStyle w:val="cursor-pointer"/>
          <w:b w:val="0"/>
          <w:bCs w:val="0"/>
        </w:rPr>
        <w:t>have</w:t>
      </w:r>
      <w:r w:rsidRPr="00BA3EF8">
        <w:rPr>
          <w:rStyle w:val="cursor-pointer"/>
          <w:b w:val="0"/>
          <w:bCs w:val="0"/>
        </w:rPr>
        <w:t xml:space="preserve"> very different recovery </w:t>
      </w:r>
      <w:r>
        <w:rPr>
          <w:rStyle w:val="cursor-pointer"/>
          <w:b w:val="0"/>
          <w:bCs w:val="0"/>
        </w:rPr>
        <w:t>schedules</w:t>
      </w:r>
      <w:r w:rsidRPr="00BA3EF8">
        <w:rPr>
          <w:rStyle w:val="cursor-pointer"/>
          <w:b w:val="0"/>
          <w:bCs w:val="0"/>
        </w:rPr>
        <w:t xml:space="preserve"> based on the governance factors.</w:t>
      </w:r>
      <w:r w:rsidRPr="00BA3EF8">
        <w:rPr>
          <w:b w:val="0"/>
          <w:bCs w:val="0"/>
        </w:rPr>
        <w:t xml:space="preserve"> </w:t>
      </w:r>
      <w:r w:rsidRPr="00BA3EF8">
        <w:rPr>
          <w:rStyle w:val="cursor-pointer"/>
          <w:b w:val="0"/>
          <w:bCs w:val="0"/>
        </w:rPr>
        <w:t>This research will solve this issue by examining the role that governance structures, the institutional frameworks, legal frameworks, and administrative capacities of state governments play in distributing federal disaster assistance and recovery outcomes.</w:t>
      </w:r>
      <w:r w:rsidRPr="00BA3EF8">
        <w:rPr>
          <w:b w:val="0"/>
          <w:bCs w:val="0"/>
        </w:rPr>
        <w:t xml:space="preserve"> </w:t>
      </w:r>
      <w:r w:rsidRPr="00BA3EF8">
        <w:rPr>
          <w:rStyle w:val="cursor-pointer"/>
          <w:b w:val="0"/>
          <w:bCs w:val="0"/>
        </w:rPr>
        <w:t>This study conceptualizes disaster recovery as a political and administrative systems outcome, rather than as a technical or environmental problem.</w:t>
      </w:r>
      <w:r w:rsidRPr="00BA3EF8">
        <w:rPr>
          <w:b w:val="0"/>
          <w:bCs w:val="0"/>
        </w:rPr>
        <w:t xml:space="preserve"> </w:t>
      </w:r>
    </w:p>
    <w:p w14:paraId="779A28BC" w14:textId="77777777" w:rsidR="00BA3EF8" w:rsidRPr="00BA3EF8" w:rsidRDefault="00BA3EF8" w:rsidP="00BA3EF8">
      <w:pPr>
        <w:pStyle w:val="Heading1"/>
        <w:spacing w:line="480" w:lineRule="auto"/>
        <w:contextualSpacing/>
      </w:pPr>
      <w:r w:rsidRPr="00BA3EF8">
        <w:rPr>
          <w:rStyle w:val="cursor-pointer"/>
        </w:rPr>
        <w:t>Reason and Importance of the Research.</w:t>
      </w:r>
      <w:r w:rsidRPr="00BA3EF8">
        <w:t xml:space="preserve"> </w:t>
      </w:r>
    </w:p>
    <w:p w14:paraId="210F73A3" w14:textId="7E340091" w:rsidR="00BA3EF8" w:rsidRDefault="00BA3EF8" w:rsidP="00BA3EF8">
      <w:pPr>
        <w:pStyle w:val="Heading1"/>
        <w:spacing w:line="480" w:lineRule="auto"/>
        <w:ind w:firstLine="720"/>
        <w:contextualSpacing/>
        <w:rPr>
          <w:rStyle w:val="cursor-pointer"/>
          <w:b w:val="0"/>
          <w:bCs w:val="0"/>
        </w:rPr>
      </w:pPr>
      <w:r w:rsidRPr="00BA3EF8">
        <w:rPr>
          <w:rStyle w:val="cursor-pointer"/>
          <w:b w:val="0"/>
          <w:bCs w:val="0"/>
        </w:rPr>
        <w:t>The significance of this study is that it concentrates on the overlap of governance and disaster equity.</w:t>
      </w:r>
      <w:r w:rsidRPr="00BA3EF8">
        <w:rPr>
          <w:b w:val="0"/>
          <w:bCs w:val="0"/>
        </w:rPr>
        <w:t xml:space="preserve"> </w:t>
      </w:r>
      <w:r w:rsidRPr="00BA3EF8">
        <w:rPr>
          <w:rStyle w:val="cursor-pointer"/>
          <w:b w:val="0"/>
          <w:bCs w:val="0"/>
        </w:rPr>
        <w:t>Although a lot of research has been done on disaster vulnerability and hazard exposure, the impact of institutional governance structures on post-disaster recovery equity in similar regions with similar hazard exposure has received less attention.</w:t>
      </w:r>
      <w:r w:rsidRPr="00BA3EF8">
        <w:rPr>
          <w:b w:val="0"/>
          <w:bCs w:val="0"/>
        </w:rPr>
        <w:t xml:space="preserve"> </w:t>
      </w:r>
      <w:r w:rsidRPr="00BA3EF8">
        <w:rPr>
          <w:rStyle w:val="cursor-pointer"/>
          <w:b w:val="0"/>
          <w:bCs w:val="0"/>
        </w:rPr>
        <w:t>This paper will help fill that gap by comparing three structurally similar yet institutionally different states in a systematic way.</w:t>
      </w:r>
      <w:r w:rsidRPr="00BA3EF8">
        <w:rPr>
          <w:b w:val="0"/>
          <w:bCs w:val="0"/>
        </w:rPr>
        <w:t xml:space="preserve"> </w:t>
      </w:r>
      <w:r w:rsidRPr="00BA3EF8">
        <w:rPr>
          <w:rStyle w:val="cursor-pointer"/>
          <w:b w:val="0"/>
          <w:bCs w:val="0"/>
        </w:rPr>
        <w:t>The Department of Homeland Security and FEMA have done a lot of work to enhance interagency coordination and to streamline the disaster response systems.</w:t>
      </w:r>
      <w:r w:rsidRPr="00BA3EF8">
        <w:rPr>
          <w:b w:val="0"/>
          <w:bCs w:val="0"/>
        </w:rPr>
        <w:t xml:space="preserve"> </w:t>
      </w:r>
      <w:r w:rsidRPr="00BA3EF8">
        <w:rPr>
          <w:rStyle w:val="cursor-pointer"/>
          <w:b w:val="0"/>
          <w:bCs w:val="0"/>
        </w:rPr>
        <w:t>Nonetheless, issues of coordination continue to be experienced at federal, state, and local government levels.</w:t>
      </w:r>
      <w:r w:rsidRPr="00BA3EF8">
        <w:rPr>
          <w:b w:val="0"/>
          <w:bCs w:val="0"/>
        </w:rPr>
        <w:t xml:space="preserve"> </w:t>
      </w:r>
      <w:r w:rsidRPr="00BA3EF8">
        <w:rPr>
          <w:rStyle w:val="cursor-pointer"/>
          <w:b w:val="0"/>
          <w:bCs w:val="0"/>
        </w:rPr>
        <w:t xml:space="preserve">These </w:t>
      </w:r>
      <w:r w:rsidRPr="00BA3EF8">
        <w:rPr>
          <w:rStyle w:val="cursor-pointer"/>
          <w:b w:val="0"/>
          <w:bCs w:val="0"/>
        </w:rPr>
        <w:lastRenderedPageBreak/>
        <w:t xml:space="preserve">problems are usually evidenced by slow approvals, bureaucratic inefficiencies, and irregular </w:t>
      </w:r>
      <w:r>
        <w:rPr>
          <w:rStyle w:val="cursor-pointer"/>
          <w:b w:val="0"/>
          <w:bCs w:val="0"/>
        </w:rPr>
        <w:t>implementation of recovery programs</w:t>
      </w:r>
      <w:r w:rsidRPr="00BA3EF8">
        <w:rPr>
          <w:rStyle w:val="cursor-pointer"/>
          <w:b w:val="0"/>
          <w:bCs w:val="0"/>
        </w:rPr>
        <w:t>.</w:t>
      </w:r>
      <w:r w:rsidRPr="00BA3EF8">
        <w:rPr>
          <w:b w:val="0"/>
          <w:bCs w:val="0"/>
        </w:rPr>
        <w:t xml:space="preserve"> </w:t>
      </w:r>
      <w:r w:rsidRPr="00BA3EF8">
        <w:rPr>
          <w:rStyle w:val="cursor-pointer"/>
          <w:b w:val="0"/>
          <w:bCs w:val="0"/>
        </w:rPr>
        <w:t>These inefficiencies may massively postpone the provision of housing services, infrastructure reconstruction, and personal recovery support services, which will keep suffering populations in agony.</w:t>
      </w:r>
      <w:r w:rsidRPr="00BA3EF8">
        <w:rPr>
          <w:b w:val="0"/>
          <w:bCs w:val="0"/>
        </w:rPr>
        <w:t xml:space="preserve"> </w:t>
      </w:r>
      <w:r w:rsidRPr="00BA3EF8">
        <w:rPr>
          <w:rStyle w:val="cursor-pointer"/>
          <w:b w:val="0"/>
          <w:bCs w:val="0"/>
        </w:rPr>
        <w:t>This is of particular concern in the face of rising climate variability.</w:t>
      </w:r>
      <w:r w:rsidRPr="00BA3EF8">
        <w:rPr>
          <w:b w:val="0"/>
          <w:bCs w:val="0"/>
        </w:rPr>
        <w:t xml:space="preserve"> </w:t>
      </w:r>
      <w:r w:rsidRPr="00BA3EF8">
        <w:rPr>
          <w:rStyle w:val="cursor-pointer"/>
          <w:b w:val="0"/>
          <w:bCs w:val="0"/>
        </w:rPr>
        <w:t xml:space="preserve">In recent years, the Midwest region of the United States has witnessed more extreme weather conditions, such as extreme flooding and changes in the patterns of tornadoes, which </w:t>
      </w:r>
      <w:r>
        <w:rPr>
          <w:rStyle w:val="cursor-pointer"/>
          <w:b w:val="0"/>
          <w:bCs w:val="0"/>
        </w:rPr>
        <w:t>have</w:t>
      </w:r>
      <w:r w:rsidRPr="00BA3EF8">
        <w:rPr>
          <w:rStyle w:val="cursor-pointer"/>
          <w:b w:val="0"/>
          <w:bCs w:val="0"/>
        </w:rPr>
        <w:t xml:space="preserve"> heightened the need to have effective and equitable disaster recovery mechanisms</w:t>
      </w:r>
      <w:r w:rsidR="0018691B">
        <w:rPr>
          <w:rStyle w:val="cursor-pointer"/>
          <w:b w:val="0"/>
          <w:bCs w:val="0"/>
        </w:rPr>
        <w:t xml:space="preserve"> </w:t>
      </w:r>
      <w:r w:rsidR="0018691B" w:rsidRPr="0018691B">
        <w:rPr>
          <w:rStyle w:val="cursor-pointer"/>
          <w:b w:val="0"/>
          <w:bCs w:val="0"/>
        </w:rPr>
        <w:t>(USDA Climate Hubs, 2020)</w:t>
      </w:r>
      <w:r w:rsidRPr="00BA3EF8">
        <w:rPr>
          <w:rStyle w:val="cursor-pointer"/>
          <w:b w:val="0"/>
          <w:bCs w:val="0"/>
        </w:rPr>
        <w:t>.</w:t>
      </w:r>
      <w:r w:rsidRPr="00BA3EF8">
        <w:rPr>
          <w:b w:val="0"/>
          <w:bCs w:val="0"/>
        </w:rPr>
        <w:t xml:space="preserve"> </w:t>
      </w:r>
      <w:r w:rsidRPr="00BA3EF8">
        <w:rPr>
          <w:rStyle w:val="cursor-pointer"/>
          <w:b w:val="0"/>
          <w:bCs w:val="0"/>
        </w:rPr>
        <w:t>The role of governance systems in recovery outcomes is thus critical to study as well as policy formulation and institutional change.</w:t>
      </w:r>
      <w:r w:rsidRPr="00BA3EF8">
        <w:rPr>
          <w:b w:val="0"/>
          <w:bCs w:val="0"/>
        </w:rPr>
        <w:t xml:space="preserve"> </w:t>
      </w:r>
      <w:r w:rsidRPr="00BA3EF8">
        <w:rPr>
          <w:rStyle w:val="cursor-pointer"/>
          <w:b w:val="0"/>
          <w:bCs w:val="0"/>
        </w:rPr>
        <w:t>This study offers a controlled comparative framework by concentrating on Illinois, Indiana, and Wisconsin</w:t>
      </w:r>
      <w:r>
        <w:rPr>
          <w:rStyle w:val="cursor-pointer"/>
          <w:b w:val="0"/>
          <w:bCs w:val="0"/>
        </w:rPr>
        <w:t>, where</w:t>
      </w:r>
      <w:r w:rsidRPr="00BA3EF8">
        <w:rPr>
          <w:rStyle w:val="cursor-pointer"/>
          <w:b w:val="0"/>
          <w:bCs w:val="0"/>
        </w:rPr>
        <w:t xml:space="preserve"> there is a relative similarity in environmental exposure, but there is a difference in the governance structures.</w:t>
      </w:r>
      <w:r w:rsidRPr="00BA3EF8">
        <w:rPr>
          <w:b w:val="0"/>
          <w:bCs w:val="0"/>
        </w:rPr>
        <w:t xml:space="preserve"> </w:t>
      </w:r>
      <w:r w:rsidRPr="00BA3EF8">
        <w:rPr>
          <w:rStyle w:val="cursor-pointer"/>
          <w:b w:val="0"/>
          <w:bCs w:val="0"/>
        </w:rPr>
        <w:t>This enables the analysis to separate governance as an explanatory variable in determining the outcome of recovery equity.</w:t>
      </w:r>
    </w:p>
    <w:p w14:paraId="26CDA78F" w14:textId="77777777" w:rsidR="00BA3EF8" w:rsidRPr="00BA3EF8" w:rsidRDefault="00BA3EF8" w:rsidP="00BA3EF8">
      <w:pPr>
        <w:pStyle w:val="Heading1"/>
        <w:spacing w:line="480" w:lineRule="auto"/>
        <w:contextualSpacing/>
      </w:pPr>
      <w:r w:rsidRPr="00BA3EF8">
        <w:rPr>
          <w:b w:val="0"/>
          <w:bCs w:val="0"/>
        </w:rPr>
        <w:t xml:space="preserve"> </w:t>
      </w:r>
      <w:r w:rsidRPr="00BA3EF8">
        <w:rPr>
          <w:rStyle w:val="cursor-pointer"/>
        </w:rPr>
        <w:t>Sub-Research Question and Analysis Focus.</w:t>
      </w:r>
      <w:r w:rsidRPr="00BA3EF8">
        <w:t xml:space="preserve"> </w:t>
      </w:r>
    </w:p>
    <w:p w14:paraId="6D68750B" w14:textId="55BE4662" w:rsidR="00BA3EF8" w:rsidRDefault="00BA3EF8" w:rsidP="00BA3EF8">
      <w:pPr>
        <w:pStyle w:val="Heading1"/>
        <w:spacing w:line="480" w:lineRule="auto"/>
        <w:ind w:firstLine="720"/>
        <w:contextualSpacing/>
        <w:rPr>
          <w:b w:val="0"/>
          <w:bCs w:val="0"/>
        </w:rPr>
      </w:pPr>
      <w:r w:rsidRPr="00BA3EF8">
        <w:rPr>
          <w:rStyle w:val="cursor-pointer"/>
          <w:b w:val="0"/>
          <w:bCs w:val="0"/>
        </w:rPr>
        <w:t>This study is informed by three interrelated sub-research questions</w:t>
      </w:r>
      <w:r>
        <w:rPr>
          <w:rStyle w:val="cursor-pointer"/>
          <w:b w:val="0"/>
          <w:bCs w:val="0"/>
        </w:rPr>
        <w:t>,</w:t>
      </w:r>
      <w:r w:rsidRPr="00BA3EF8">
        <w:rPr>
          <w:rStyle w:val="cursor-pointer"/>
          <w:b w:val="0"/>
          <w:bCs w:val="0"/>
        </w:rPr>
        <w:t xml:space="preserve"> which help in systematically tackling the central research problem.</w:t>
      </w:r>
      <w:r w:rsidRPr="00BA3EF8">
        <w:rPr>
          <w:b w:val="0"/>
          <w:bCs w:val="0"/>
        </w:rPr>
        <w:t xml:space="preserve"> </w:t>
      </w:r>
      <w:r w:rsidRPr="00BA3EF8">
        <w:rPr>
          <w:rStyle w:val="cursor-pointer"/>
          <w:b w:val="0"/>
          <w:bCs w:val="0"/>
        </w:rPr>
        <w:t>These sub-questions break down the overall research problem into measurable and analytically distinct parts, which allow a more organized investigation.</w:t>
      </w:r>
      <w:r w:rsidRPr="00BA3EF8">
        <w:rPr>
          <w:b w:val="0"/>
          <w:bCs w:val="0"/>
        </w:rPr>
        <w:t xml:space="preserve"> </w:t>
      </w:r>
      <w:r w:rsidRPr="00BA3EF8">
        <w:rPr>
          <w:rStyle w:val="cursor-pointer"/>
          <w:b w:val="0"/>
          <w:bCs w:val="0"/>
        </w:rPr>
        <w:t>The former sub-research question looks at how governance structure is related to how federal disaster assistance is distributed between socio-economic groups:</w:t>
      </w:r>
      <w:r w:rsidRPr="00BA3EF8">
        <w:rPr>
          <w:b w:val="0"/>
          <w:bCs w:val="0"/>
        </w:rPr>
        <w:t xml:space="preserve"> </w:t>
      </w:r>
    </w:p>
    <w:p w14:paraId="45C4B789" w14:textId="124EBB2D" w:rsidR="00BA3EF8" w:rsidRDefault="00BA3EF8" w:rsidP="00BA3EF8">
      <w:pPr>
        <w:pStyle w:val="Heading1"/>
        <w:numPr>
          <w:ilvl w:val="0"/>
          <w:numId w:val="2"/>
        </w:numPr>
        <w:spacing w:line="480" w:lineRule="auto"/>
        <w:contextualSpacing/>
        <w:rPr>
          <w:b w:val="0"/>
          <w:bCs w:val="0"/>
        </w:rPr>
      </w:pPr>
      <w:r w:rsidRPr="00BA3EF8">
        <w:rPr>
          <w:rStyle w:val="cursor-pointer"/>
          <w:b w:val="0"/>
          <w:bCs w:val="0"/>
        </w:rPr>
        <w:t xml:space="preserve">What is the impact of the governance structure of Illinois, Indiana, and Wisconsin on </w:t>
      </w:r>
      <w:r>
        <w:rPr>
          <w:rStyle w:val="cursor-pointer"/>
          <w:b w:val="0"/>
          <w:bCs w:val="0"/>
        </w:rPr>
        <w:t xml:space="preserve">the </w:t>
      </w:r>
      <w:r w:rsidRPr="00BA3EF8">
        <w:rPr>
          <w:rStyle w:val="cursor-pointer"/>
          <w:b w:val="0"/>
          <w:bCs w:val="0"/>
        </w:rPr>
        <w:t>distribution of federal disaster aid among various socio-economic groups?</w:t>
      </w:r>
      <w:r w:rsidRPr="00BA3EF8">
        <w:rPr>
          <w:b w:val="0"/>
          <w:bCs w:val="0"/>
        </w:rPr>
        <w:t xml:space="preserve"> </w:t>
      </w:r>
    </w:p>
    <w:p w14:paraId="67ACD81B" w14:textId="293E489D" w:rsidR="00BA3EF8" w:rsidRDefault="00BA3EF8" w:rsidP="00BA3EF8">
      <w:pPr>
        <w:pStyle w:val="Heading1"/>
        <w:spacing w:line="480" w:lineRule="auto"/>
        <w:ind w:firstLine="720"/>
        <w:contextualSpacing/>
        <w:rPr>
          <w:b w:val="0"/>
          <w:bCs w:val="0"/>
        </w:rPr>
      </w:pPr>
      <w:r w:rsidRPr="00BA3EF8">
        <w:rPr>
          <w:rStyle w:val="cursor-pointer"/>
          <w:b w:val="0"/>
          <w:bCs w:val="0"/>
        </w:rPr>
        <w:t xml:space="preserve">This question aims at distributive equity and aims </w:t>
      </w:r>
      <w:r>
        <w:rPr>
          <w:rStyle w:val="cursor-pointer"/>
          <w:b w:val="0"/>
          <w:bCs w:val="0"/>
        </w:rPr>
        <w:t>to identify</w:t>
      </w:r>
      <w:r w:rsidRPr="00BA3EF8">
        <w:rPr>
          <w:rStyle w:val="cursor-pointer"/>
          <w:b w:val="0"/>
          <w:bCs w:val="0"/>
        </w:rPr>
        <w:t xml:space="preserve"> whether differences in the system of state-level governance structures affect the distribution of federal resources among the </w:t>
      </w:r>
      <w:r w:rsidRPr="00BA3EF8">
        <w:rPr>
          <w:rStyle w:val="cursor-pointer"/>
          <w:b w:val="0"/>
          <w:bCs w:val="0"/>
        </w:rPr>
        <w:lastRenderedPageBreak/>
        <w:t>populations that are affected.</w:t>
      </w:r>
      <w:r w:rsidRPr="00BA3EF8">
        <w:rPr>
          <w:b w:val="0"/>
          <w:bCs w:val="0"/>
        </w:rPr>
        <w:t xml:space="preserve"> </w:t>
      </w:r>
      <w:r w:rsidRPr="00BA3EF8">
        <w:rPr>
          <w:rStyle w:val="cursor-pointer"/>
          <w:b w:val="0"/>
          <w:bCs w:val="0"/>
        </w:rPr>
        <w:t>It addresses the question of whether some institutional forms of governance are more conducive to equal distribution or whether institutional inefficiencies contribute to disparities in access to disaster relief.</w:t>
      </w:r>
      <w:r w:rsidRPr="00BA3EF8">
        <w:rPr>
          <w:b w:val="0"/>
          <w:bCs w:val="0"/>
        </w:rPr>
        <w:t xml:space="preserve"> </w:t>
      </w:r>
      <w:r w:rsidRPr="00BA3EF8">
        <w:rPr>
          <w:rStyle w:val="cursor-pointer"/>
          <w:b w:val="0"/>
          <w:bCs w:val="0"/>
        </w:rPr>
        <w:t>The second sub-research question is concerned with the interagency coordination mechanisms to develop recovery timelines:</w:t>
      </w:r>
      <w:r w:rsidRPr="00BA3EF8">
        <w:rPr>
          <w:b w:val="0"/>
          <w:bCs w:val="0"/>
        </w:rPr>
        <w:t xml:space="preserve"> </w:t>
      </w:r>
    </w:p>
    <w:p w14:paraId="52907028" w14:textId="2573CC06" w:rsidR="00BA3EF8" w:rsidRDefault="00BA3EF8" w:rsidP="00BA3EF8">
      <w:pPr>
        <w:pStyle w:val="Heading1"/>
        <w:spacing w:line="480" w:lineRule="auto"/>
        <w:ind w:firstLine="720"/>
        <w:contextualSpacing/>
        <w:rPr>
          <w:b w:val="0"/>
          <w:bCs w:val="0"/>
        </w:rPr>
      </w:pPr>
      <w:r w:rsidRPr="00BA3EF8">
        <w:rPr>
          <w:rStyle w:val="cursor-pointer"/>
          <w:b w:val="0"/>
          <w:bCs w:val="0"/>
        </w:rPr>
        <w:t>2. What is the relationship between the mechanisms of interagency coordination in Illinois, Indiana, and Wisconsin, as demonstrated by after-action reports and findings of federal audits</w:t>
      </w:r>
      <w:r>
        <w:rPr>
          <w:rStyle w:val="cursor-pointer"/>
          <w:b w:val="0"/>
          <w:bCs w:val="0"/>
        </w:rPr>
        <w:t>,</w:t>
      </w:r>
      <w:r w:rsidRPr="00BA3EF8">
        <w:rPr>
          <w:rStyle w:val="cursor-pointer"/>
          <w:b w:val="0"/>
          <w:bCs w:val="0"/>
        </w:rPr>
        <w:t xml:space="preserve"> and differences in recovery timelines after inland flooding, tornadoes, and polar vortexes?</w:t>
      </w:r>
    </w:p>
    <w:p w14:paraId="76C7C5E9" w14:textId="0918BCF9" w:rsidR="00BA3EF8" w:rsidRPr="00BA3EF8" w:rsidRDefault="00BA3EF8" w:rsidP="00BA3EF8">
      <w:pPr>
        <w:pStyle w:val="Heading1"/>
        <w:spacing w:line="480" w:lineRule="auto"/>
        <w:ind w:firstLine="720"/>
        <w:contextualSpacing/>
        <w:rPr>
          <w:b w:val="0"/>
          <w:bCs w:val="0"/>
          <w:sz w:val="28"/>
          <w:szCs w:val="28"/>
        </w:rPr>
      </w:pPr>
      <w:r w:rsidRPr="00BA3EF8">
        <w:rPr>
          <w:rStyle w:val="cursor-pointer"/>
          <w:b w:val="0"/>
          <w:bCs w:val="0"/>
        </w:rPr>
        <w:t>This question deals with procedural equity, especially speed and efficiency of recoveries.</w:t>
      </w:r>
      <w:r w:rsidRPr="00BA3EF8">
        <w:rPr>
          <w:b w:val="0"/>
          <w:bCs w:val="0"/>
        </w:rPr>
        <w:t xml:space="preserve"> </w:t>
      </w:r>
      <w:r w:rsidRPr="00BA3EF8">
        <w:rPr>
          <w:rStyle w:val="cursor-pointer"/>
          <w:b w:val="0"/>
          <w:bCs w:val="0"/>
        </w:rPr>
        <w:t>It looks at how better coordination between the agencies results in quicker recovery</w:t>
      </w:r>
      <w:r>
        <w:rPr>
          <w:rStyle w:val="cursor-pointer"/>
          <w:b w:val="0"/>
          <w:bCs w:val="0"/>
        </w:rPr>
        <w:t>,</w:t>
      </w:r>
      <w:r w:rsidRPr="00BA3EF8">
        <w:rPr>
          <w:rStyle w:val="cursor-pointer"/>
          <w:b w:val="0"/>
          <w:bCs w:val="0"/>
        </w:rPr>
        <w:t xml:space="preserve"> and governance fragmentation is associated with delays.</w:t>
      </w:r>
      <w:r w:rsidRPr="00BA3EF8">
        <w:rPr>
          <w:b w:val="0"/>
          <w:bCs w:val="0"/>
        </w:rPr>
        <w:t xml:space="preserve"> </w:t>
      </w:r>
      <w:r w:rsidRPr="00BA3EF8">
        <w:rPr>
          <w:rStyle w:val="cursor-pointer"/>
          <w:b w:val="0"/>
          <w:bCs w:val="0"/>
        </w:rPr>
        <w:t>It also includes hazard type as a moderating variable, noting that varying demands of institutional coordination systems might arise depending on the type of disaster.</w:t>
      </w:r>
      <w:r w:rsidRPr="00BA3EF8">
        <w:rPr>
          <w:b w:val="0"/>
          <w:bCs w:val="0"/>
        </w:rPr>
        <w:t xml:space="preserve"> </w:t>
      </w:r>
      <w:r w:rsidRPr="00BA3EF8">
        <w:rPr>
          <w:rStyle w:val="cursor-pointer"/>
          <w:b w:val="0"/>
          <w:bCs w:val="0"/>
        </w:rPr>
        <w:t xml:space="preserve">This sub-question is especially crucial since disaster recovery not only </w:t>
      </w:r>
      <w:r>
        <w:rPr>
          <w:rStyle w:val="cursor-pointer"/>
          <w:b w:val="0"/>
          <w:bCs w:val="0"/>
        </w:rPr>
        <w:t>depends</w:t>
      </w:r>
      <w:r w:rsidRPr="00BA3EF8">
        <w:rPr>
          <w:rStyle w:val="cursor-pointer"/>
          <w:b w:val="0"/>
          <w:bCs w:val="0"/>
        </w:rPr>
        <w:t xml:space="preserve"> on the availability of resources, but also on the effectiveness of institutions in coordinating the process of crisis response and recovery.</w:t>
      </w:r>
      <w:r w:rsidRPr="00BA3EF8">
        <w:rPr>
          <w:b w:val="0"/>
          <w:bCs w:val="0"/>
        </w:rPr>
        <w:t xml:space="preserve"> </w:t>
      </w:r>
      <w:r w:rsidRPr="00BA3EF8">
        <w:rPr>
          <w:rStyle w:val="cursor-pointer"/>
          <w:b w:val="0"/>
          <w:bCs w:val="0"/>
        </w:rPr>
        <w:t>Lack of coordination between the federal and state agencies may lead to duplication of efforts, delays in fund release, and unhappiness in implementation.</w:t>
      </w:r>
      <w:r w:rsidRPr="00BA3EF8">
        <w:rPr>
          <w:b w:val="0"/>
          <w:bCs w:val="0"/>
        </w:rPr>
        <w:t xml:space="preserve"> </w:t>
      </w:r>
      <w:r w:rsidRPr="00BA3EF8">
        <w:rPr>
          <w:rStyle w:val="cursor-pointer"/>
          <w:b w:val="0"/>
          <w:bCs w:val="0"/>
        </w:rPr>
        <w:t>The third analytical dimension of the research is implicit</w:t>
      </w:r>
      <w:r>
        <w:rPr>
          <w:rStyle w:val="cursor-pointer"/>
          <w:b w:val="0"/>
          <w:bCs w:val="0"/>
        </w:rPr>
        <w:t>,</w:t>
      </w:r>
      <w:r w:rsidRPr="00BA3EF8">
        <w:rPr>
          <w:rStyle w:val="cursor-pointer"/>
          <w:b w:val="0"/>
          <w:bCs w:val="0"/>
        </w:rPr>
        <w:t xml:space="preserve"> but it looks at the relationship between the governance systems and environmental hazards.</w:t>
      </w:r>
      <w:r w:rsidRPr="00BA3EF8">
        <w:rPr>
          <w:b w:val="0"/>
          <w:bCs w:val="0"/>
        </w:rPr>
        <w:t xml:space="preserve"> </w:t>
      </w:r>
      <w:r w:rsidRPr="00BA3EF8">
        <w:rPr>
          <w:rStyle w:val="cursor-pointer"/>
          <w:b w:val="0"/>
          <w:bCs w:val="0"/>
        </w:rPr>
        <w:t>The study considers the heterogeneity of hazards by comparing flooding, tornado</w:t>
      </w:r>
      <w:r>
        <w:rPr>
          <w:rStyle w:val="cursor-pointer"/>
          <w:b w:val="0"/>
          <w:bCs w:val="0"/>
        </w:rPr>
        <w:t>,</w:t>
      </w:r>
      <w:r w:rsidRPr="00BA3EF8">
        <w:rPr>
          <w:rStyle w:val="cursor-pointer"/>
          <w:b w:val="0"/>
          <w:bCs w:val="0"/>
        </w:rPr>
        <w:t xml:space="preserve"> and polar vortex events and </w:t>
      </w:r>
      <w:r>
        <w:rPr>
          <w:rStyle w:val="cursor-pointer"/>
          <w:b w:val="0"/>
          <w:bCs w:val="0"/>
        </w:rPr>
        <w:t>ensures</w:t>
      </w:r>
      <w:r w:rsidRPr="00BA3EF8">
        <w:rPr>
          <w:rStyle w:val="cursor-pointer"/>
          <w:b w:val="0"/>
          <w:bCs w:val="0"/>
        </w:rPr>
        <w:t xml:space="preserve"> that the observed variability in recovery outcomes cannot be explained only by the type of disaster but also by the context of governance.</w:t>
      </w:r>
    </w:p>
    <w:p w14:paraId="55E13CE4" w14:textId="61C82A99" w:rsidR="0029749B" w:rsidRPr="00C33C14" w:rsidRDefault="002A4F2F" w:rsidP="00BA3EF8">
      <w:pPr>
        <w:spacing w:line="480" w:lineRule="auto"/>
        <w:ind w:firstLine="720"/>
        <w:contextualSpacing/>
        <w:jc w:val="center"/>
        <w:rPr>
          <w:b/>
          <w:bCs/>
        </w:rPr>
      </w:pPr>
      <w:r w:rsidRPr="00C33C14">
        <w:rPr>
          <w:b/>
          <w:bCs/>
        </w:rPr>
        <w:t>Data Collection Methods</w:t>
      </w:r>
    </w:p>
    <w:p w14:paraId="6A737264" w14:textId="7C3A92D0" w:rsidR="005E6A22" w:rsidRPr="005E6A22" w:rsidRDefault="005E6A22" w:rsidP="00BA3EF8">
      <w:pPr>
        <w:pStyle w:val="Heading1"/>
        <w:spacing w:line="480" w:lineRule="auto"/>
        <w:ind w:firstLine="720"/>
        <w:contextualSpacing/>
        <w:rPr>
          <w:b w:val="0"/>
          <w:bCs w:val="0"/>
          <w:color w:val="auto"/>
        </w:rPr>
      </w:pPr>
      <w:r w:rsidRPr="005E6A22">
        <w:rPr>
          <w:b w:val="0"/>
          <w:bCs w:val="0"/>
          <w:color w:val="auto"/>
        </w:rPr>
        <w:lastRenderedPageBreak/>
        <w:t>The capstone study uses a multi-method secondary data research design to investigate the role of the context of governance in determining equitable disaster recovery outcomes in Illinois, Indiana, and Wisconsin. It is generally accepted that disaster recovery is a multi-tiered governance process that includes federal, state, and local agencies and involves both quantitative and qualitative measures that would comprehensively understand the outcomes and disparities (Martin et al., 2021; Wilson et al., 2021). To this end, the following four data collection methods are used in a complementary manner in this study: FEMA administrative, (2) HUD housing recovery, (3) qualitative content analysis of after-action reports and audits, and (4) governance and fiscal indicators.</w:t>
      </w:r>
    </w:p>
    <w:p w14:paraId="0B3CEB0C" w14:textId="77777777" w:rsidR="005E6A22" w:rsidRPr="002F30A8" w:rsidRDefault="005E6A22" w:rsidP="00BA3EF8">
      <w:pPr>
        <w:pStyle w:val="Heading1"/>
        <w:spacing w:line="480" w:lineRule="auto"/>
        <w:contextualSpacing/>
        <w:rPr>
          <w:color w:val="auto"/>
        </w:rPr>
      </w:pPr>
      <w:r w:rsidRPr="002F30A8">
        <w:rPr>
          <w:color w:val="auto"/>
        </w:rPr>
        <w:t>FEMA Open Data (Administrative Quantitative Data)</w:t>
      </w:r>
    </w:p>
    <w:p w14:paraId="113A14BF" w14:textId="09CDF1FC" w:rsidR="005E6A22" w:rsidRDefault="005E6A22" w:rsidP="00BA3EF8">
      <w:pPr>
        <w:pStyle w:val="Heading1"/>
        <w:spacing w:line="480" w:lineRule="auto"/>
        <w:ind w:firstLine="720"/>
        <w:contextualSpacing/>
        <w:rPr>
          <w:b w:val="0"/>
          <w:bCs w:val="0"/>
          <w:color w:val="auto"/>
        </w:rPr>
      </w:pPr>
      <w:r w:rsidRPr="005E6A22">
        <w:rPr>
          <w:b w:val="0"/>
          <w:bCs w:val="0"/>
          <w:color w:val="auto"/>
        </w:rPr>
        <w:t xml:space="preserve">The initial data collection tool is based on administrative data on </w:t>
      </w:r>
      <w:r>
        <w:rPr>
          <w:b w:val="0"/>
          <w:bCs w:val="0"/>
          <w:color w:val="auto"/>
        </w:rPr>
        <w:t xml:space="preserve">the </w:t>
      </w:r>
      <w:r w:rsidRPr="005E6A22">
        <w:rPr>
          <w:b w:val="0"/>
          <w:bCs w:val="0"/>
          <w:color w:val="auto"/>
        </w:rPr>
        <w:t>FEMA open data portal. Administrative data are data that are gathered by government agencies in the process of normal program implementation, as opposed to conducting research. It is gaining popularity in the context of disaster research because of its size, validity, and time series nature (</w:t>
      </w:r>
      <w:proofErr w:type="spellStart"/>
      <w:r w:rsidRPr="005E6A22">
        <w:rPr>
          <w:b w:val="0"/>
          <w:bCs w:val="0"/>
          <w:color w:val="auto"/>
        </w:rPr>
        <w:t>Emrich</w:t>
      </w:r>
      <w:proofErr w:type="spellEnd"/>
      <w:r w:rsidRPr="005E6A22">
        <w:rPr>
          <w:b w:val="0"/>
          <w:bCs w:val="0"/>
          <w:color w:val="auto"/>
        </w:rPr>
        <w:t xml:space="preserve"> and Cutter, 2021; Wilson et al., 2021).</w:t>
      </w:r>
      <w:r>
        <w:rPr>
          <w:b w:val="0"/>
          <w:bCs w:val="0"/>
          <w:color w:val="auto"/>
        </w:rPr>
        <w:t xml:space="preserve"> </w:t>
      </w:r>
      <w:r w:rsidRPr="005E6A22">
        <w:rPr>
          <w:b w:val="0"/>
          <w:bCs w:val="0"/>
          <w:color w:val="auto"/>
        </w:rPr>
        <w:t>FEMA data consists of Individual and Household Program (IHP) registrations, verified losses, Public Assistance projects</w:t>
      </w:r>
      <w:r w:rsidR="00E5227F">
        <w:rPr>
          <w:b w:val="0"/>
          <w:bCs w:val="0"/>
          <w:color w:val="auto"/>
        </w:rPr>
        <w:t>,</w:t>
      </w:r>
      <w:r w:rsidRPr="005E6A22">
        <w:rPr>
          <w:b w:val="0"/>
          <w:bCs w:val="0"/>
          <w:color w:val="auto"/>
        </w:rPr>
        <w:t xml:space="preserve"> and disaster declarations. These datasets give </w:t>
      </w:r>
      <w:r w:rsidR="00E5227F">
        <w:rPr>
          <w:b w:val="0"/>
          <w:bCs w:val="0"/>
          <w:color w:val="auto"/>
        </w:rPr>
        <w:t>an</w:t>
      </w:r>
      <w:r w:rsidRPr="005E6A22">
        <w:rPr>
          <w:b w:val="0"/>
          <w:bCs w:val="0"/>
          <w:color w:val="auto"/>
        </w:rPr>
        <w:t xml:space="preserve"> understanding of the distribution of federal disaster aid and the level of </w:t>
      </w:r>
      <w:r w:rsidR="00E5227F">
        <w:rPr>
          <w:b w:val="0"/>
          <w:bCs w:val="0"/>
          <w:color w:val="auto"/>
        </w:rPr>
        <w:t>damage</w:t>
      </w:r>
      <w:r w:rsidRPr="005E6A22">
        <w:rPr>
          <w:b w:val="0"/>
          <w:bCs w:val="0"/>
          <w:color w:val="auto"/>
        </w:rPr>
        <w:t xml:space="preserve"> suffered by communities. Previous studies indicate that FEMA assistance information is especially useful in determining inequalities in aid diffusion between socio-economic groups, and vulnerable groups are usually disadvantaged by the accessibility barriers (Wilson et al., 2021).</w:t>
      </w:r>
      <w:r>
        <w:rPr>
          <w:b w:val="0"/>
          <w:bCs w:val="0"/>
          <w:color w:val="auto"/>
        </w:rPr>
        <w:t xml:space="preserve"> </w:t>
      </w:r>
      <w:r w:rsidRPr="005E6A22">
        <w:rPr>
          <w:b w:val="0"/>
          <w:bCs w:val="0"/>
          <w:color w:val="auto"/>
        </w:rPr>
        <w:t xml:space="preserve">In simple language, the approach examines the official government documents to find out who gets disaster relief, the extent of aid given, and any imbalance. These datasets are narrowed down to disasters in Illinois, Indiana, and Wisconsin between 2015 and 2025, which </w:t>
      </w:r>
      <w:r w:rsidR="00E5227F">
        <w:rPr>
          <w:b w:val="0"/>
          <w:bCs w:val="0"/>
          <w:color w:val="auto"/>
        </w:rPr>
        <w:t>are</w:t>
      </w:r>
      <w:r w:rsidRPr="005E6A22">
        <w:rPr>
          <w:b w:val="0"/>
          <w:bCs w:val="0"/>
          <w:color w:val="auto"/>
        </w:rPr>
        <w:t xml:space="preserve"> </w:t>
      </w:r>
      <w:r w:rsidRPr="005E6A22">
        <w:rPr>
          <w:b w:val="0"/>
          <w:bCs w:val="0"/>
          <w:color w:val="auto"/>
        </w:rPr>
        <w:lastRenderedPageBreak/>
        <w:t xml:space="preserve">longitudinally </w:t>
      </w:r>
      <w:r w:rsidR="00E5227F" w:rsidRPr="005E6A22">
        <w:rPr>
          <w:b w:val="0"/>
          <w:bCs w:val="0"/>
          <w:color w:val="auto"/>
        </w:rPr>
        <w:t>analyzable</w:t>
      </w:r>
      <w:r w:rsidRPr="005E6A22">
        <w:rPr>
          <w:b w:val="0"/>
          <w:bCs w:val="0"/>
          <w:color w:val="auto"/>
        </w:rPr>
        <w:t>.</w:t>
      </w:r>
      <w:r>
        <w:rPr>
          <w:b w:val="0"/>
          <w:bCs w:val="0"/>
          <w:color w:val="auto"/>
        </w:rPr>
        <w:t xml:space="preserve"> </w:t>
      </w:r>
      <w:r w:rsidRPr="005E6A22">
        <w:rPr>
          <w:b w:val="0"/>
          <w:bCs w:val="0"/>
          <w:color w:val="auto"/>
        </w:rPr>
        <w:t xml:space="preserve">The data will be logistically downloaded in CSV files on </w:t>
      </w:r>
      <w:r w:rsidR="00E5227F">
        <w:rPr>
          <w:b w:val="0"/>
          <w:bCs w:val="0"/>
          <w:color w:val="auto"/>
        </w:rPr>
        <w:t xml:space="preserve">the </w:t>
      </w:r>
      <w:r w:rsidRPr="005E6A22">
        <w:rPr>
          <w:b w:val="0"/>
          <w:bCs w:val="0"/>
          <w:color w:val="auto"/>
        </w:rPr>
        <w:t>FEMA platform and combined with U.S. Census data using Federal Information Processing Standards (FIPS) codes. This allows county and census block analysis. FEMA and Census data integration has been popular in disaster inequality studies to determine the connection between aid distribution and socio-economic vulnerability (Tate et al., 2021).</w:t>
      </w:r>
      <w:r>
        <w:rPr>
          <w:b w:val="0"/>
          <w:bCs w:val="0"/>
          <w:color w:val="auto"/>
        </w:rPr>
        <w:t xml:space="preserve"> </w:t>
      </w:r>
      <w:proofErr w:type="gramStart"/>
      <w:r w:rsidRPr="005E6A22">
        <w:rPr>
          <w:b w:val="0"/>
          <w:bCs w:val="0"/>
          <w:color w:val="auto"/>
        </w:rPr>
        <w:t>This</w:t>
      </w:r>
      <w:proofErr w:type="gramEnd"/>
      <w:r w:rsidRPr="005E6A22">
        <w:rPr>
          <w:b w:val="0"/>
          <w:bCs w:val="0"/>
          <w:color w:val="auto"/>
        </w:rPr>
        <w:t xml:space="preserve"> approach is suitable since it will directly answer the first sub-research question related to the distribution of federal disaster relief. It offers objective, measurable data </w:t>
      </w:r>
      <w:r w:rsidR="00E5227F">
        <w:rPr>
          <w:b w:val="0"/>
          <w:bCs w:val="0"/>
          <w:color w:val="auto"/>
        </w:rPr>
        <w:t>on</w:t>
      </w:r>
      <w:r w:rsidRPr="005E6A22">
        <w:rPr>
          <w:b w:val="0"/>
          <w:bCs w:val="0"/>
          <w:color w:val="auto"/>
        </w:rPr>
        <w:t xml:space="preserve"> resource allocation patterns</w:t>
      </w:r>
      <w:r w:rsidR="00E5227F">
        <w:rPr>
          <w:b w:val="0"/>
          <w:bCs w:val="0"/>
          <w:color w:val="auto"/>
        </w:rPr>
        <w:t>,</w:t>
      </w:r>
      <w:r w:rsidRPr="005E6A22">
        <w:rPr>
          <w:b w:val="0"/>
          <w:bCs w:val="0"/>
          <w:color w:val="auto"/>
        </w:rPr>
        <w:t xml:space="preserve"> and it helps to conduct strict statistical analysis.</w:t>
      </w:r>
    </w:p>
    <w:p w14:paraId="393465EF" w14:textId="77777777" w:rsidR="005E6A22" w:rsidRPr="00E5227F" w:rsidRDefault="005E6A22" w:rsidP="00BA3EF8">
      <w:pPr>
        <w:pStyle w:val="Heading1"/>
        <w:spacing w:line="480" w:lineRule="auto"/>
        <w:contextualSpacing/>
        <w:rPr>
          <w:color w:val="auto"/>
        </w:rPr>
      </w:pPr>
      <w:r w:rsidRPr="00E5227F">
        <w:rPr>
          <w:color w:val="auto"/>
        </w:rPr>
        <w:t xml:space="preserve">HUD CPD Housing Recovery Data (Longitudinal Recovery Analysis) </w:t>
      </w:r>
    </w:p>
    <w:p w14:paraId="4D4A8CD3" w14:textId="3A9529EA" w:rsidR="005E6A22" w:rsidRDefault="005E6A22" w:rsidP="00BA3EF8">
      <w:pPr>
        <w:pStyle w:val="Heading1"/>
        <w:spacing w:line="480" w:lineRule="auto"/>
        <w:ind w:firstLine="720"/>
        <w:contextualSpacing/>
        <w:rPr>
          <w:b w:val="0"/>
          <w:bCs w:val="0"/>
          <w:color w:val="auto"/>
        </w:rPr>
      </w:pPr>
      <w:r w:rsidRPr="005E6A22">
        <w:rPr>
          <w:b w:val="0"/>
          <w:bCs w:val="0"/>
          <w:color w:val="auto"/>
        </w:rPr>
        <w:t xml:space="preserve">The second data collection plan is the Community Planning and Development (CPD) datasets of HUD, especially the Community Development Block Grant-Disaster Recovery (CDBG-DR) program data. CDBG-DR is the main federal program of disaster recovery (especially reconstruction of housing and infrastructure) over the long term. According to scholarly research, HUD recovery programs are indispensable to comprehending long-term recovery routes as they can last years after initial FEMA aid (Martin et al., 2021). These data sets will offer specific details about funding distributions, project timelines, and geographic locations of the recovery activity. Simply, this procedure monitors the duration of community recovery following any disaster and the financial allocation of recovery resources </w:t>
      </w:r>
      <w:r w:rsidR="00E5227F">
        <w:rPr>
          <w:b w:val="0"/>
          <w:bCs w:val="0"/>
          <w:color w:val="auto"/>
        </w:rPr>
        <w:t>over</w:t>
      </w:r>
      <w:r w:rsidRPr="005E6A22">
        <w:rPr>
          <w:b w:val="0"/>
          <w:bCs w:val="0"/>
          <w:color w:val="auto"/>
        </w:rPr>
        <w:t xml:space="preserve"> time. It assists in answering questions regarding whether some communities are recovering more rapidly than others and why there are disparities. The data will be retrieved logistically using the Public Data Portal of HUD and narrowed down by state and time. The most important variables are the start and completion dates of the project, which </w:t>
      </w:r>
      <w:r w:rsidR="00E5227F">
        <w:rPr>
          <w:b w:val="0"/>
          <w:bCs w:val="0"/>
          <w:color w:val="auto"/>
        </w:rPr>
        <w:t>make</w:t>
      </w:r>
      <w:r w:rsidRPr="005E6A22">
        <w:rPr>
          <w:b w:val="0"/>
          <w:bCs w:val="0"/>
          <w:color w:val="auto"/>
        </w:rPr>
        <w:t xml:space="preserve"> it possible to calculate the recovery time. These schedules are an important dependent variable in the research. The suitability of this approach is </w:t>
      </w:r>
      <w:r w:rsidRPr="005E6A22">
        <w:rPr>
          <w:b w:val="0"/>
          <w:bCs w:val="0"/>
          <w:color w:val="auto"/>
        </w:rPr>
        <w:lastRenderedPageBreak/>
        <w:t xml:space="preserve">due to the fact that it will answer the second sub-research question of recovery timelines and interagency coordination. Literature reveals that housing recovery delays tend to be associated with fragmentation of governance and inter-agency coordination issues between federal and state (Martin et al., 2021; </w:t>
      </w:r>
      <w:r w:rsidR="00C36FFF" w:rsidRPr="00C36FFF">
        <w:rPr>
          <w:b w:val="0"/>
          <w:bCs w:val="0"/>
          <w:color w:val="auto"/>
        </w:rPr>
        <w:t>Park &amp; Kwon, 2024)</w:t>
      </w:r>
      <w:r w:rsidRPr="005E6A22">
        <w:rPr>
          <w:b w:val="0"/>
          <w:bCs w:val="0"/>
          <w:color w:val="auto"/>
        </w:rPr>
        <w:t xml:space="preserve">. Moreover, </w:t>
      </w:r>
      <w:r w:rsidR="00E5227F">
        <w:rPr>
          <w:b w:val="0"/>
          <w:bCs w:val="0"/>
          <w:color w:val="auto"/>
        </w:rPr>
        <w:t xml:space="preserve">the </w:t>
      </w:r>
      <w:r w:rsidRPr="005E6A22">
        <w:rPr>
          <w:b w:val="0"/>
          <w:bCs w:val="0"/>
          <w:color w:val="auto"/>
        </w:rPr>
        <w:t>incorporation of HUD and FEMA data would give a holistic picture of both short-term and long-term recovery, which is crucial in assessing recovery equity.</w:t>
      </w:r>
    </w:p>
    <w:p w14:paraId="1FB581B3" w14:textId="45659A06" w:rsidR="00E5227F" w:rsidRPr="002F30A8" w:rsidRDefault="00E5227F" w:rsidP="002F30A8">
      <w:pPr>
        <w:pStyle w:val="Heading1"/>
        <w:spacing w:line="480" w:lineRule="auto"/>
        <w:contextualSpacing/>
        <w:rPr>
          <w:color w:val="auto"/>
        </w:rPr>
      </w:pPr>
      <w:r w:rsidRPr="00E5227F">
        <w:rPr>
          <w:color w:val="auto"/>
        </w:rPr>
        <w:t>Qualitative Method Content Analysis of After-Action Reports and Federal Audits.</w:t>
      </w:r>
    </w:p>
    <w:p w14:paraId="58DD7403" w14:textId="296465CA" w:rsidR="00E5227F" w:rsidRPr="00E5227F" w:rsidRDefault="00E5227F" w:rsidP="00BA3EF8">
      <w:pPr>
        <w:pStyle w:val="Heading1"/>
        <w:spacing w:line="480" w:lineRule="auto"/>
        <w:ind w:firstLine="720"/>
        <w:contextualSpacing/>
        <w:rPr>
          <w:b w:val="0"/>
          <w:bCs w:val="0"/>
          <w:color w:val="auto"/>
        </w:rPr>
      </w:pPr>
      <w:r w:rsidRPr="00E5227F">
        <w:rPr>
          <w:b w:val="0"/>
          <w:bCs w:val="0"/>
          <w:color w:val="auto"/>
        </w:rPr>
        <w:t xml:space="preserve">The third way of data collection is the qualitative content analysis of the after-action reports (AARs) and the federal audit documents. Content analysis refers to a methodology of text interpretation based on coding and classification </w:t>
      </w:r>
      <w:r w:rsidR="00C36FFF" w:rsidRPr="00C36FFF">
        <w:rPr>
          <w:b w:val="0"/>
          <w:bCs w:val="0"/>
          <w:color w:val="auto"/>
        </w:rPr>
        <w:t>(</w:t>
      </w:r>
      <w:proofErr w:type="spellStart"/>
      <w:r w:rsidR="00C36FFF" w:rsidRPr="00C36FFF">
        <w:rPr>
          <w:b w:val="0"/>
          <w:bCs w:val="0"/>
          <w:color w:val="auto"/>
        </w:rPr>
        <w:t>Kleinheksel</w:t>
      </w:r>
      <w:proofErr w:type="spellEnd"/>
      <w:r w:rsidR="00C36FFF" w:rsidRPr="00C36FFF">
        <w:rPr>
          <w:b w:val="0"/>
          <w:bCs w:val="0"/>
          <w:color w:val="auto"/>
        </w:rPr>
        <w:t xml:space="preserve"> et al., 2020)</w:t>
      </w:r>
      <w:r w:rsidR="00C36FFF">
        <w:rPr>
          <w:b w:val="0"/>
          <w:bCs w:val="0"/>
          <w:color w:val="auto"/>
        </w:rPr>
        <w:t xml:space="preserve">. </w:t>
      </w:r>
      <w:r w:rsidRPr="00E5227F">
        <w:rPr>
          <w:b w:val="0"/>
          <w:bCs w:val="0"/>
          <w:color w:val="auto"/>
        </w:rPr>
        <w:t xml:space="preserve">After-action reports are an important element of disaster management because they capture lessons, coordination difficulties, and </w:t>
      </w:r>
      <w:r>
        <w:rPr>
          <w:b w:val="0"/>
          <w:bCs w:val="0"/>
          <w:color w:val="auto"/>
        </w:rPr>
        <w:t>operational</w:t>
      </w:r>
      <w:r w:rsidRPr="00E5227F">
        <w:rPr>
          <w:b w:val="0"/>
          <w:bCs w:val="0"/>
          <w:color w:val="auto"/>
        </w:rPr>
        <w:t xml:space="preserve"> effectiveness after the occurrence of disasters. On the same note, federal audits offer independent reviews of disaster recovery programs and help point out systemic inefficiencies.</w:t>
      </w:r>
      <w:r>
        <w:rPr>
          <w:b w:val="0"/>
          <w:bCs w:val="0"/>
          <w:color w:val="auto"/>
        </w:rPr>
        <w:t xml:space="preserve"> </w:t>
      </w:r>
      <w:r w:rsidRPr="00E5227F">
        <w:rPr>
          <w:b w:val="0"/>
          <w:bCs w:val="0"/>
          <w:color w:val="auto"/>
        </w:rPr>
        <w:t>This approach, in the language of the layman, will include a close reading of official reports to know how effective government agencies were in collaborating during disaster recovery.</w:t>
      </w:r>
      <w:r>
        <w:rPr>
          <w:b w:val="0"/>
          <w:bCs w:val="0"/>
          <w:color w:val="auto"/>
        </w:rPr>
        <w:t xml:space="preserve"> </w:t>
      </w:r>
      <w:r w:rsidRPr="00E5227F">
        <w:rPr>
          <w:b w:val="0"/>
          <w:bCs w:val="0"/>
          <w:color w:val="auto"/>
        </w:rPr>
        <w:t xml:space="preserve">AARs will be gathered logistically by state emergency management agencies and </w:t>
      </w:r>
      <w:r>
        <w:rPr>
          <w:b w:val="0"/>
          <w:bCs w:val="0"/>
          <w:color w:val="auto"/>
        </w:rPr>
        <w:t xml:space="preserve">the </w:t>
      </w:r>
      <w:r w:rsidRPr="00E5227F">
        <w:rPr>
          <w:b w:val="0"/>
          <w:bCs w:val="0"/>
          <w:color w:val="auto"/>
        </w:rPr>
        <w:t>Lessons Learned Information Sharing (LLIS) platform. There will also be federal audit reports</w:t>
      </w:r>
      <w:r>
        <w:rPr>
          <w:b w:val="0"/>
          <w:bCs w:val="0"/>
          <w:color w:val="auto"/>
        </w:rPr>
        <w:t>,</w:t>
      </w:r>
      <w:r w:rsidRPr="00E5227F">
        <w:rPr>
          <w:b w:val="0"/>
          <w:bCs w:val="0"/>
          <w:color w:val="auto"/>
        </w:rPr>
        <w:t xml:space="preserve"> such as those of oversight agencies. A standardized coding framework grounded on the coordination theory will be used to code these documents (Comfort et al., 2020).</w:t>
      </w:r>
    </w:p>
    <w:p w14:paraId="3A359C19" w14:textId="79BDC65B" w:rsidR="00E5227F" w:rsidRPr="00E5227F" w:rsidRDefault="00E5227F" w:rsidP="00BA3EF8">
      <w:pPr>
        <w:pStyle w:val="Heading1"/>
        <w:spacing w:line="480" w:lineRule="auto"/>
        <w:contextualSpacing/>
        <w:rPr>
          <w:b w:val="0"/>
          <w:bCs w:val="0"/>
          <w:color w:val="auto"/>
        </w:rPr>
      </w:pPr>
      <w:r w:rsidRPr="00E5227F">
        <w:rPr>
          <w:b w:val="0"/>
          <w:bCs w:val="0"/>
          <w:color w:val="auto"/>
        </w:rPr>
        <w:t>The coding scheme involves:</w:t>
      </w:r>
    </w:p>
    <w:p w14:paraId="35B2382F" w14:textId="77777777" w:rsidR="00E5227F" w:rsidRPr="00E5227F" w:rsidRDefault="00E5227F" w:rsidP="00BA3EF8">
      <w:pPr>
        <w:pStyle w:val="Heading1"/>
        <w:spacing w:line="480" w:lineRule="auto"/>
        <w:contextualSpacing/>
        <w:rPr>
          <w:b w:val="0"/>
          <w:bCs w:val="0"/>
          <w:color w:val="auto"/>
        </w:rPr>
      </w:pPr>
      <w:r w:rsidRPr="00E5227F">
        <w:rPr>
          <w:b w:val="0"/>
          <w:bCs w:val="0"/>
          <w:color w:val="auto"/>
        </w:rPr>
        <w:t>Communication Integration</w:t>
      </w:r>
    </w:p>
    <w:p w14:paraId="11223965" w14:textId="77777777" w:rsidR="00E5227F" w:rsidRPr="00E5227F" w:rsidRDefault="00E5227F" w:rsidP="00BA3EF8">
      <w:pPr>
        <w:pStyle w:val="Heading1"/>
        <w:spacing w:line="480" w:lineRule="auto"/>
        <w:contextualSpacing/>
        <w:rPr>
          <w:b w:val="0"/>
          <w:bCs w:val="0"/>
          <w:color w:val="auto"/>
        </w:rPr>
      </w:pPr>
      <w:r w:rsidRPr="00E5227F">
        <w:rPr>
          <w:b w:val="0"/>
          <w:bCs w:val="0"/>
          <w:color w:val="auto"/>
        </w:rPr>
        <w:t>Operational Alignment</w:t>
      </w:r>
    </w:p>
    <w:p w14:paraId="5657B1BD" w14:textId="50DFE336" w:rsidR="00E5227F" w:rsidRPr="00E5227F" w:rsidRDefault="00E5227F" w:rsidP="00BA3EF8">
      <w:pPr>
        <w:pStyle w:val="Heading1"/>
        <w:spacing w:line="480" w:lineRule="auto"/>
        <w:contextualSpacing/>
        <w:rPr>
          <w:b w:val="0"/>
          <w:bCs w:val="0"/>
          <w:color w:val="auto"/>
        </w:rPr>
      </w:pPr>
      <w:r w:rsidRPr="00E5227F">
        <w:rPr>
          <w:b w:val="0"/>
          <w:bCs w:val="0"/>
          <w:color w:val="auto"/>
        </w:rPr>
        <w:t>Equity Responsiveness</w:t>
      </w:r>
    </w:p>
    <w:p w14:paraId="15EEBE0A" w14:textId="338A0F2F" w:rsidR="00E5227F" w:rsidRDefault="00E5227F" w:rsidP="00BA3EF8">
      <w:pPr>
        <w:pStyle w:val="Heading1"/>
        <w:spacing w:line="480" w:lineRule="auto"/>
        <w:ind w:firstLine="720"/>
        <w:contextualSpacing/>
        <w:rPr>
          <w:b w:val="0"/>
          <w:bCs w:val="0"/>
          <w:color w:val="auto"/>
        </w:rPr>
      </w:pPr>
      <w:r w:rsidRPr="00E5227F">
        <w:rPr>
          <w:b w:val="0"/>
          <w:bCs w:val="0"/>
          <w:color w:val="auto"/>
        </w:rPr>
        <w:lastRenderedPageBreak/>
        <w:t xml:space="preserve">To achieve reliability, a double-coding of 20 percent of documents will be applied, with a </w:t>
      </w:r>
      <w:r>
        <w:rPr>
          <w:b w:val="0"/>
          <w:bCs w:val="0"/>
          <w:color w:val="auto"/>
        </w:rPr>
        <w:t>Cohen's</w:t>
      </w:r>
      <w:r w:rsidRPr="00E5227F">
        <w:rPr>
          <w:b w:val="0"/>
          <w:bCs w:val="0"/>
          <w:color w:val="auto"/>
        </w:rPr>
        <w:t xml:space="preserve"> kappa score of 0.80, which is also aligned with the qualitative research criterion</w:t>
      </w:r>
      <w:r>
        <w:rPr>
          <w:b w:val="0"/>
          <w:bCs w:val="0"/>
          <w:color w:val="auto"/>
        </w:rPr>
        <w:t xml:space="preserve">. </w:t>
      </w:r>
      <w:r w:rsidRPr="00E5227F">
        <w:rPr>
          <w:b w:val="0"/>
          <w:bCs w:val="0"/>
          <w:color w:val="auto"/>
        </w:rPr>
        <w:t>This approach is vital in operationalizing interagency coordination</w:t>
      </w:r>
      <w:r w:rsidR="00BA3EF8">
        <w:rPr>
          <w:b w:val="0"/>
          <w:bCs w:val="0"/>
          <w:color w:val="auto"/>
        </w:rPr>
        <w:t>,</w:t>
      </w:r>
      <w:r w:rsidRPr="00E5227F">
        <w:rPr>
          <w:b w:val="0"/>
          <w:bCs w:val="0"/>
          <w:color w:val="auto"/>
        </w:rPr>
        <w:t xml:space="preserve"> which is a major independent variable in the research. Studies have shown that inefficiencies and slowness in recovery are major results due to poor coordination among federal agencies (GAO, 2023). Also, the literature on disaster governance states that the quality of coordination directly affects recovery outcomes and equity </w:t>
      </w:r>
      <w:r w:rsidR="002F30A8" w:rsidRPr="002F30A8">
        <w:rPr>
          <w:b w:val="0"/>
          <w:bCs w:val="0"/>
          <w:color w:val="auto"/>
        </w:rPr>
        <w:t>(</w:t>
      </w:r>
      <w:proofErr w:type="spellStart"/>
      <w:r w:rsidR="002F30A8" w:rsidRPr="002F30A8">
        <w:rPr>
          <w:b w:val="0"/>
          <w:bCs w:val="0"/>
          <w:color w:val="auto"/>
        </w:rPr>
        <w:t>Kapucu</w:t>
      </w:r>
      <w:proofErr w:type="spellEnd"/>
      <w:r w:rsidR="002F30A8" w:rsidRPr="002F30A8">
        <w:rPr>
          <w:b w:val="0"/>
          <w:bCs w:val="0"/>
          <w:color w:val="auto"/>
        </w:rPr>
        <w:t xml:space="preserve"> &amp; </w:t>
      </w:r>
      <w:proofErr w:type="spellStart"/>
      <w:r w:rsidR="002F30A8" w:rsidRPr="002F30A8">
        <w:rPr>
          <w:b w:val="0"/>
          <w:bCs w:val="0"/>
          <w:color w:val="auto"/>
        </w:rPr>
        <w:t>Garayev</w:t>
      </w:r>
      <w:proofErr w:type="spellEnd"/>
      <w:r w:rsidR="002F30A8" w:rsidRPr="002F30A8">
        <w:rPr>
          <w:b w:val="0"/>
          <w:bCs w:val="0"/>
          <w:color w:val="auto"/>
        </w:rPr>
        <w:t>, 2011)</w:t>
      </w:r>
      <w:r w:rsidR="002F30A8">
        <w:rPr>
          <w:b w:val="0"/>
          <w:bCs w:val="0"/>
          <w:color w:val="auto"/>
        </w:rPr>
        <w:t xml:space="preserve">. </w:t>
      </w:r>
      <w:r w:rsidRPr="00E5227F">
        <w:rPr>
          <w:b w:val="0"/>
          <w:bCs w:val="0"/>
          <w:color w:val="auto"/>
        </w:rPr>
        <w:t>Therefore, content analysis offers valuable information that cannot be represented by quantitative data only, which is why it is very suitable to answer the second sub-research question.</w:t>
      </w:r>
    </w:p>
    <w:p w14:paraId="5C35B811" w14:textId="77777777" w:rsidR="00BA3EF8" w:rsidRPr="002F30A8" w:rsidRDefault="00E5227F" w:rsidP="00BA3EF8">
      <w:pPr>
        <w:pStyle w:val="Heading1"/>
        <w:spacing w:line="480" w:lineRule="auto"/>
        <w:contextualSpacing/>
        <w:rPr>
          <w:color w:val="auto"/>
        </w:rPr>
      </w:pPr>
      <w:r w:rsidRPr="00E5227F">
        <w:rPr>
          <w:b w:val="0"/>
          <w:bCs w:val="0"/>
          <w:color w:val="auto"/>
        </w:rPr>
        <w:t>4</w:t>
      </w:r>
      <w:r w:rsidRPr="002F30A8">
        <w:rPr>
          <w:color w:val="auto"/>
        </w:rPr>
        <w:t>. Governance and Fiscal Context Information (Composite Index Construction)</w:t>
      </w:r>
    </w:p>
    <w:p w14:paraId="1E08C169" w14:textId="2C760F45" w:rsidR="00BA3EF8" w:rsidRDefault="00E5227F" w:rsidP="00BA3EF8">
      <w:pPr>
        <w:pStyle w:val="Heading1"/>
        <w:spacing w:line="480" w:lineRule="auto"/>
        <w:contextualSpacing/>
        <w:rPr>
          <w:b w:val="0"/>
          <w:bCs w:val="0"/>
          <w:color w:val="auto"/>
        </w:rPr>
      </w:pPr>
      <w:r w:rsidRPr="00E5227F">
        <w:rPr>
          <w:b w:val="0"/>
          <w:bCs w:val="0"/>
          <w:color w:val="auto"/>
        </w:rPr>
        <w:t>The fourth data collection plan is based on governance systems and financial ability. The context of governance encompasses law, institutional power, and resource allocation systems that influence the response and recovery approach to disasters.</w:t>
      </w:r>
      <w:r w:rsidR="00BA3EF8">
        <w:rPr>
          <w:b w:val="0"/>
          <w:bCs w:val="0"/>
          <w:color w:val="auto"/>
        </w:rPr>
        <w:t xml:space="preserve"> </w:t>
      </w:r>
      <w:r w:rsidRPr="00E5227F">
        <w:rPr>
          <w:b w:val="0"/>
          <w:bCs w:val="0"/>
          <w:color w:val="auto"/>
        </w:rPr>
        <w:t>The studies have continuously found that governance arrangements largely affect the outcome of disaster recovery, especially in coordination effectiveness and resource allocation (</w:t>
      </w:r>
      <w:r w:rsidR="00C36FFF" w:rsidRPr="00C36FFF">
        <w:rPr>
          <w:b w:val="0"/>
          <w:bCs w:val="0"/>
          <w:color w:val="auto"/>
        </w:rPr>
        <w:t>Tang et al., 2021</w:t>
      </w:r>
      <w:r w:rsidRPr="00E5227F">
        <w:rPr>
          <w:b w:val="0"/>
          <w:bCs w:val="0"/>
          <w:color w:val="auto"/>
        </w:rPr>
        <w:t xml:space="preserve">; </w:t>
      </w:r>
      <w:proofErr w:type="spellStart"/>
      <w:r w:rsidRPr="00E5227F">
        <w:rPr>
          <w:b w:val="0"/>
          <w:bCs w:val="0"/>
          <w:color w:val="auto"/>
        </w:rPr>
        <w:t>Boin</w:t>
      </w:r>
      <w:proofErr w:type="spellEnd"/>
      <w:r w:rsidRPr="00E5227F">
        <w:rPr>
          <w:b w:val="0"/>
          <w:bCs w:val="0"/>
          <w:color w:val="auto"/>
        </w:rPr>
        <w:t xml:space="preserve"> et al., 2021).</w:t>
      </w:r>
      <w:r w:rsidR="002F30A8">
        <w:rPr>
          <w:b w:val="0"/>
          <w:bCs w:val="0"/>
          <w:color w:val="auto"/>
        </w:rPr>
        <w:t xml:space="preserve"> </w:t>
      </w:r>
      <w:r w:rsidRPr="00E5227F">
        <w:rPr>
          <w:b w:val="0"/>
          <w:bCs w:val="0"/>
          <w:color w:val="auto"/>
        </w:rPr>
        <w:t>Simply stated, this approach focuses on how the system of any state is organized, who bears decision-making responsibilities, how the agencies cooperate, and how resources are distributed.</w:t>
      </w:r>
      <w:r w:rsidR="00BA3EF8">
        <w:rPr>
          <w:b w:val="0"/>
          <w:bCs w:val="0"/>
          <w:color w:val="auto"/>
        </w:rPr>
        <w:t xml:space="preserve"> </w:t>
      </w:r>
      <w:r w:rsidRPr="00E5227F">
        <w:rPr>
          <w:b w:val="0"/>
          <w:bCs w:val="0"/>
          <w:color w:val="auto"/>
        </w:rPr>
        <w:t>Statutory documents of Illinois, Indiana, and Wisconsin will be analyzed logistically to determine:</w:t>
      </w:r>
    </w:p>
    <w:p w14:paraId="772AA095" w14:textId="5135F51A" w:rsidR="00E5227F" w:rsidRPr="00E5227F" w:rsidRDefault="00E5227F" w:rsidP="00BA3EF8">
      <w:pPr>
        <w:pStyle w:val="Heading1"/>
        <w:spacing w:line="480" w:lineRule="auto"/>
        <w:contextualSpacing/>
        <w:rPr>
          <w:b w:val="0"/>
          <w:bCs w:val="0"/>
          <w:color w:val="auto"/>
        </w:rPr>
      </w:pPr>
      <w:r w:rsidRPr="00E5227F">
        <w:rPr>
          <w:b w:val="0"/>
          <w:bCs w:val="0"/>
          <w:color w:val="auto"/>
        </w:rPr>
        <w:t>Executive authority</w:t>
      </w:r>
    </w:p>
    <w:p w14:paraId="395F69D8" w14:textId="77777777" w:rsidR="00E5227F" w:rsidRPr="00E5227F" w:rsidRDefault="00E5227F" w:rsidP="00BA3EF8">
      <w:pPr>
        <w:pStyle w:val="Heading1"/>
        <w:spacing w:line="480" w:lineRule="auto"/>
        <w:contextualSpacing/>
        <w:rPr>
          <w:b w:val="0"/>
          <w:bCs w:val="0"/>
          <w:color w:val="auto"/>
        </w:rPr>
      </w:pPr>
      <w:r w:rsidRPr="00E5227F">
        <w:rPr>
          <w:b w:val="0"/>
          <w:bCs w:val="0"/>
          <w:color w:val="auto"/>
        </w:rPr>
        <w:t>Interagency coordination requirements</w:t>
      </w:r>
    </w:p>
    <w:p w14:paraId="1C6C44BC" w14:textId="77777777" w:rsidR="00E5227F" w:rsidRPr="00E5227F" w:rsidRDefault="00E5227F" w:rsidP="00BA3EF8">
      <w:pPr>
        <w:pStyle w:val="Heading1"/>
        <w:spacing w:line="480" w:lineRule="auto"/>
        <w:contextualSpacing/>
        <w:rPr>
          <w:b w:val="0"/>
          <w:bCs w:val="0"/>
          <w:color w:val="auto"/>
        </w:rPr>
      </w:pPr>
      <w:r w:rsidRPr="00E5227F">
        <w:rPr>
          <w:b w:val="0"/>
          <w:bCs w:val="0"/>
          <w:color w:val="auto"/>
        </w:rPr>
        <w:t>Resource allocation structures</w:t>
      </w:r>
    </w:p>
    <w:p w14:paraId="16F3A4F2" w14:textId="5D332642" w:rsidR="00E5227F" w:rsidRPr="00E5227F" w:rsidRDefault="00E5227F" w:rsidP="00BA3EF8">
      <w:pPr>
        <w:pStyle w:val="Heading1"/>
        <w:spacing w:line="480" w:lineRule="auto"/>
        <w:contextualSpacing/>
        <w:rPr>
          <w:b w:val="0"/>
          <w:bCs w:val="0"/>
          <w:color w:val="auto"/>
        </w:rPr>
      </w:pPr>
      <w:r w:rsidRPr="00E5227F">
        <w:rPr>
          <w:b w:val="0"/>
          <w:bCs w:val="0"/>
          <w:color w:val="auto"/>
        </w:rPr>
        <w:t xml:space="preserve">The fiscal data will be acquired through state budgets and the Annual Survey of State Government Finances by the </w:t>
      </w:r>
      <w:r w:rsidR="00BA3EF8">
        <w:rPr>
          <w:b w:val="0"/>
          <w:bCs w:val="0"/>
          <w:color w:val="auto"/>
        </w:rPr>
        <w:t>U.S. Census Bureau</w:t>
      </w:r>
      <w:r w:rsidRPr="00E5227F">
        <w:rPr>
          <w:b w:val="0"/>
          <w:bCs w:val="0"/>
          <w:color w:val="auto"/>
        </w:rPr>
        <w:t xml:space="preserve">. These statistics give percentages of </w:t>
      </w:r>
      <w:r w:rsidRPr="00E5227F">
        <w:rPr>
          <w:b w:val="0"/>
          <w:bCs w:val="0"/>
          <w:color w:val="auto"/>
        </w:rPr>
        <w:lastRenderedPageBreak/>
        <w:t>emergency management expenditures relative to overall expenditures by the state.</w:t>
      </w:r>
      <w:r w:rsidR="00BA3EF8">
        <w:rPr>
          <w:b w:val="0"/>
          <w:bCs w:val="0"/>
          <w:color w:val="auto"/>
        </w:rPr>
        <w:t xml:space="preserve"> </w:t>
      </w:r>
      <w:r w:rsidRPr="00E5227F">
        <w:rPr>
          <w:b w:val="0"/>
          <w:bCs w:val="0"/>
          <w:color w:val="auto"/>
        </w:rPr>
        <w:t>Further benchmarking information will be obtained through the National Emergency Management Association (NEMA) evaluations and the Emergency Management Accreditation Program (EMAP) criteria, which offer standardized indicators of state preparedness.</w:t>
      </w:r>
      <w:r w:rsidR="00BA3EF8">
        <w:rPr>
          <w:b w:val="0"/>
          <w:bCs w:val="0"/>
          <w:color w:val="auto"/>
        </w:rPr>
        <w:t xml:space="preserve"> </w:t>
      </w:r>
      <w:r w:rsidRPr="00E5227F">
        <w:rPr>
          <w:b w:val="0"/>
          <w:bCs w:val="0"/>
          <w:color w:val="auto"/>
        </w:rPr>
        <w:t>All the variables of governance will be grouped into a composite index, which will become the main independent variable in regression analysis.</w:t>
      </w:r>
      <w:r w:rsidR="00BA3EF8">
        <w:rPr>
          <w:b w:val="0"/>
          <w:bCs w:val="0"/>
          <w:color w:val="auto"/>
        </w:rPr>
        <w:t xml:space="preserve"> </w:t>
      </w:r>
      <w:r w:rsidRPr="00E5227F">
        <w:rPr>
          <w:b w:val="0"/>
          <w:bCs w:val="0"/>
          <w:color w:val="auto"/>
        </w:rPr>
        <w:t>This approach is suitable since governance is a multidimensional construct and therefore, it needs numerous indicators to be effectively measured. It is typical of public administration research to utilize composite indices in order to reflect more complex institutional dynamics (</w:t>
      </w:r>
      <w:proofErr w:type="spellStart"/>
      <w:r w:rsidRPr="00E5227F">
        <w:rPr>
          <w:b w:val="0"/>
          <w:bCs w:val="0"/>
          <w:color w:val="auto"/>
        </w:rPr>
        <w:t>Boin</w:t>
      </w:r>
      <w:proofErr w:type="spellEnd"/>
      <w:r w:rsidRPr="00E5227F">
        <w:rPr>
          <w:b w:val="0"/>
          <w:bCs w:val="0"/>
          <w:color w:val="auto"/>
        </w:rPr>
        <w:t xml:space="preserve"> et al., 2021).</w:t>
      </w:r>
    </w:p>
    <w:p w14:paraId="60DC2649" w14:textId="6C3DB516" w:rsidR="00E5227F" w:rsidRPr="002F30A8" w:rsidRDefault="00E5227F" w:rsidP="00BA3EF8">
      <w:pPr>
        <w:pStyle w:val="Heading1"/>
        <w:spacing w:line="480" w:lineRule="auto"/>
        <w:contextualSpacing/>
        <w:rPr>
          <w:color w:val="auto"/>
        </w:rPr>
      </w:pPr>
      <w:r w:rsidRPr="002F30A8">
        <w:rPr>
          <w:color w:val="auto"/>
        </w:rPr>
        <w:t>I</w:t>
      </w:r>
      <w:r w:rsidRPr="002F30A8">
        <w:rPr>
          <w:color w:val="auto"/>
        </w:rPr>
        <w:t>n</w:t>
      </w:r>
      <w:r w:rsidRPr="002F30A8">
        <w:rPr>
          <w:color w:val="auto"/>
        </w:rPr>
        <w:t>tegration and Justification</w:t>
      </w:r>
    </w:p>
    <w:p w14:paraId="4DA0F518" w14:textId="71B8DE0D" w:rsidR="00E5227F" w:rsidRDefault="00E5227F" w:rsidP="00BA3EF8">
      <w:pPr>
        <w:pStyle w:val="Heading1"/>
        <w:spacing w:line="480" w:lineRule="auto"/>
        <w:ind w:firstLine="720"/>
        <w:contextualSpacing/>
        <w:rPr>
          <w:b w:val="0"/>
          <w:bCs w:val="0"/>
          <w:color w:val="auto"/>
        </w:rPr>
      </w:pPr>
      <w:r w:rsidRPr="00E5227F">
        <w:rPr>
          <w:b w:val="0"/>
          <w:bCs w:val="0"/>
          <w:color w:val="auto"/>
        </w:rPr>
        <w:t xml:space="preserve">The combination of these four data collection </w:t>
      </w:r>
      <w:r w:rsidR="00BA3EF8">
        <w:rPr>
          <w:b w:val="0"/>
          <w:bCs w:val="0"/>
          <w:color w:val="auto"/>
        </w:rPr>
        <w:t>techniques</w:t>
      </w:r>
      <w:r w:rsidRPr="00E5227F">
        <w:rPr>
          <w:b w:val="0"/>
          <w:bCs w:val="0"/>
          <w:color w:val="auto"/>
        </w:rPr>
        <w:t xml:space="preserve"> facilitates the methodological triangulation of the study, which increases the validity and strength of the research. The quantitative indices of </w:t>
      </w:r>
      <w:r w:rsidR="002F30A8">
        <w:rPr>
          <w:b w:val="0"/>
          <w:bCs w:val="0"/>
          <w:color w:val="auto"/>
        </w:rPr>
        <w:t>resource</w:t>
      </w:r>
      <w:r w:rsidRPr="00E5227F">
        <w:rPr>
          <w:b w:val="0"/>
          <w:bCs w:val="0"/>
          <w:color w:val="auto"/>
        </w:rPr>
        <w:t xml:space="preserve"> allocation and recovery activities are available in FEMA and HUD datasets, whereas qualitative elements of coordination are present in content analysis. The data on governance gives the institutional background that needs to be interpreted.</w:t>
      </w:r>
      <w:r>
        <w:rPr>
          <w:b w:val="0"/>
          <w:bCs w:val="0"/>
          <w:color w:val="auto"/>
        </w:rPr>
        <w:t xml:space="preserve"> </w:t>
      </w:r>
      <w:r w:rsidRPr="00E5227F">
        <w:rPr>
          <w:b w:val="0"/>
          <w:bCs w:val="0"/>
          <w:color w:val="auto"/>
        </w:rPr>
        <w:t>Notably, studies note that the results of disaster recovery are influenced by both process factors (e.g., quality of coordination) and structural factors (e.g., governance systems) (</w:t>
      </w:r>
      <w:proofErr w:type="spellStart"/>
      <w:r w:rsidRPr="00E5227F">
        <w:rPr>
          <w:b w:val="0"/>
          <w:bCs w:val="0"/>
          <w:color w:val="auto"/>
        </w:rPr>
        <w:t>Kapucu</w:t>
      </w:r>
      <w:proofErr w:type="spellEnd"/>
      <w:r w:rsidRPr="00E5227F">
        <w:rPr>
          <w:b w:val="0"/>
          <w:bCs w:val="0"/>
          <w:color w:val="auto"/>
        </w:rPr>
        <w:t xml:space="preserve"> and </w:t>
      </w:r>
      <w:proofErr w:type="spellStart"/>
      <w:r w:rsidRPr="00E5227F">
        <w:rPr>
          <w:b w:val="0"/>
          <w:bCs w:val="0"/>
          <w:color w:val="auto"/>
        </w:rPr>
        <w:t>Garayev</w:t>
      </w:r>
      <w:proofErr w:type="spellEnd"/>
      <w:r w:rsidRPr="00E5227F">
        <w:rPr>
          <w:b w:val="0"/>
          <w:bCs w:val="0"/>
          <w:color w:val="auto"/>
        </w:rPr>
        <w:t>, 2021; Wilson et al., 2021). Thus, the research questions require a mixed-method approach to be answerable.</w:t>
      </w:r>
      <w:r>
        <w:rPr>
          <w:b w:val="0"/>
          <w:bCs w:val="0"/>
          <w:color w:val="auto"/>
        </w:rPr>
        <w:t xml:space="preserve"> </w:t>
      </w:r>
      <w:r w:rsidRPr="00E5227F">
        <w:rPr>
          <w:b w:val="0"/>
          <w:bCs w:val="0"/>
          <w:color w:val="auto"/>
        </w:rPr>
        <w:t>Additionally, the use of publicly accessible federal data will increase transparency and reproducibility</w:t>
      </w:r>
      <w:r w:rsidR="002F30A8">
        <w:rPr>
          <w:b w:val="0"/>
          <w:bCs w:val="0"/>
          <w:color w:val="auto"/>
        </w:rPr>
        <w:t>,</w:t>
      </w:r>
      <w:r w:rsidRPr="00E5227F">
        <w:rPr>
          <w:b w:val="0"/>
          <w:bCs w:val="0"/>
          <w:color w:val="auto"/>
        </w:rPr>
        <w:t xml:space="preserve"> which is in line with good policy research practices.</w:t>
      </w:r>
    </w:p>
    <w:p w14:paraId="485CD4BD" w14:textId="5D2C8D6A" w:rsidR="0029749B" w:rsidRDefault="002A4F2F" w:rsidP="00BA3EF8">
      <w:pPr>
        <w:pStyle w:val="Heading1"/>
        <w:spacing w:line="480" w:lineRule="auto"/>
        <w:contextualSpacing/>
        <w:jc w:val="center"/>
      </w:pPr>
      <w:r>
        <w:t>Conclusion</w:t>
      </w:r>
    </w:p>
    <w:p w14:paraId="0CF078DC" w14:textId="6EDE4A08" w:rsidR="00DC4ED0" w:rsidRDefault="002A4F2F" w:rsidP="00BA3EF8">
      <w:pPr>
        <w:pStyle w:val="Heading1"/>
        <w:spacing w:line="480" w:lineRule="auto"/>
        <w:ind w:firstLine="720"/>
        <w:contextualSpacing/>
        <w:rPr>
          <w:b w:val="0"/>
          <w:bCs w:val="0"/>
          <w:color w:val="auto"/>
        </w:rPr>
      </w:pPr>
      <w:r w:rsidRPr="00DC4ED0">
        <w:rPr>
          <w:b w:val="0"/>
          <w:bCs w:val="0"/>
          <w:color w:val="auto"/>
        </w:rPr>
        <w:t xml:space="preserve">To explore the central research question of how governance context and effective interagency coordination </w:t>
      </w:r>
      <w:proofErr w:type="gramStart"/>
      <w:r w:rsidRPr="00DC4ED0">
        <w:rPr>
          <w:b w:val="0"/>
          <w:bCs w:val="0"/>
          <w:color w:val="auto"/>
        </w:rPr>
        <w:t>have</w:t>
      </w:r>
      <w:proofErr w:type="gramEnd"/>
      <w:r w:rsidRPr="00DC4ED0">
        <w:rPr>
          <w:b w:val="0"/>
          <w:bCs w:val="0"/>
          <w:color w:val="auto"/>
        </w:rPr>
        <w:t xml:space="preserve"> an impact on achieving equitable disaster recovery outcomes in </w:t>
      </w:r>
      <w:r w:rsidRPr="00DC4ED0">
        <w:rPr>
          <w:b w:val="0"/>
          <w:bCs w:val="0"/>
          <w:color w:val="auto"/>
        </w:rPr>
        <w:lastRenderedPageBreak/>
        <w:t>Illinois, Indiana, and Wisconsin, this capstone has chosen to utilize a quantitative comparative policy analysis design (multivariate regression, equity gap analysis, and GIS spatial mapping). This design directly correlates with the original research question, has empirical support from the extant methodological literature, and is based on four publicly available federal and state data sources. Each of the sub-questions is examined through a specific data collection method, and when aggregated, the data from all three approaches will give breadth and depth of evidence to develop actionable recommendations on achieving disaster recovery equity across the tri-state area.</w:t>
      </w:r>
      <w:r>
        <w:rPr>
          <w:b w:val="0"/>
          <w:bCs w:val="0"/>
          <w:color w:val="auto"/>
        </w:rPr>
        <w:t xml:space="preserve"> </w:t>
      </w:r>
      <w:r w:rsidRPr="00DC4ED0">
        <w:rPr>
          <w:b w:val="0"/>
          <w:bCs w:val="0"/>
          <w:color w:val="auto"/>
        </w:rPr>
        <w:t>The study's emphasis on the inland flooding, tornado alley shift, and polar vortex events that have been recurrent threats to regions of the United States bordering the Great Lakes illustrates the urgent and evolving climate hazard landscape confronting these states, and will therefore provide practical utility to public administrators charged with emergency management, intergovernmental coordination, and establishing right service delivery in light of increased frequency and intensity of disasters.</w:t>
      </w:r>
    </w:p>
    <w:p w14:paraId="796A8985" w14:textId="77777777" w:rsidR="00DC4ED0" w:rsidRDefault="002A4F2F" w:rsidP="00BA3EF8">
      <w:pPr>
        <w:spacing w:line="480" w:lineRule="auto"/>
        <w:contextualSpacing/>
      </w:pPr>
      <w:r>
        <w:rPr>
          <w:b/>
          <w:bCs/>
        </w:rPr>
        <w:br w:type="page"/>
      </w:r>
    </w:p>
    <w:p w14:paraId="18DB8901" w14:textId="0059359D" w:rsidR="0029749B" w:rsidRDefault="002A4F2F" w:rsidP="00BA3EF8">
      <w:pPr>
        <w:pStyle w:val="Heading1"/>
        <w:spacing w:line="480" w:lineRule="auto"/>
        <w:contextualSpacing/>
        <w:jc w:val="center"/>
      </w:pPr>
      <w:r>
        <w:lastRenderedPageBreak/>
        <w:t>References</w:t>
      </w:r>
    </w:p>
    <w:p w14:paraId="7D5A0FAD" w14:textId="77777777" w:rsidR="0018691B" w:rsidRDefault="0018691B" w:rsidP="0018691B">
      <w:pPr>
        <w:pStyle w:val="NormalWeb"/>
        <w:spacing w:before="0" w:beforeAutospacing="0" w:after="0" w:afterAutospacing="0" w:line="480" w:lineRule="auto"/>
        <w:ind w:left="720" w:hanging="720"/>
      </w:pPr>
      <w:proofErr w:type="spellStart"/>
      <w:r>
        <w:t>Boin</w:t>
      </w:r>
      <w:proofErr w:type="spellEnd"/>
      <w:r>
        <w:t xml:space="preserve">, A., Hart, P. ‘t, &amp; </w:t>
      </w:r>
      <w:proofErr w:type="spellStart"/>
      <w:r>
        <w:t>Kuipers</w:t>
      </w:r>
      <w:proofErr w:type="spellEnd"/>
      <w:r>
        <w:t xml:space="preserve">, S. (2017). The Crisis Approach. </w:t>
      </w:r>
      <w:r>
        <w:rPr>
          <w:i/>
          <w:iCs/>
        </w:rPr>
        <w:t>Handbook of Disaster Research</w:t>
      </w:r>
      <w:r>
        <w:t>, 23–38. https://doi.org/10.1007/978-3-319-63254-4_2</w:t>
      </w:r>
    </w:p>
    <w:p w14:paraId="03184993" w14:textId="77777777" w:rsidR="0018691B" w:rsidRDefault="0018691B" w:rsidP="0018691B">
      <w:pPr>
        <w:pStyle w:val="NormalWeb"/>
        <w:spacing w:before="0" w:beforeAutospacing="0" w:after="0" w:afterAutospacing="0" w:line="480" w:lineRule="auto"/>
        <w:ind w:left="720" w:hanging="720"/>
      </w:pPr>
      <w:r>
        <w:t xml:space="preserve">Comfort, L. K., Arjen </w:t>
      </w:r>
      <w:proofErr w:type="spellStart"/>
      <w:r>
        <w:t>Boin</w:t>
      </w:r>
      <w:proofErr w:type="spellEnd"/>
      <w:r>
        <w:t xml:space="preserve">, &amp; </w:t>
      </w:r>
      <w:proofErr w:type="spellStart"/>
      <w:r>
        <w:t>Demchak</w:t>
      </w:r>
      <w:proofErr w:type="spellEnd"/>
      <w:r>
        <w:t xml:space="preserve">, C. C. (2010). </w:t>
      </w:r>
      <w:r>
        <w:rPr>
          <w:i/>
          <w:iCs/>
        </w:rPr>
        <w:t xml:space="preserve">Designing </w:t>
      </w:r>
      <w:proofErr w:type="gramStart"/>
      <w:r>
        <w:rPr>
          <w:i/>
          <w:iCs/>
        </w:rPr>
        <w:t>resilience :</w:t>
      </w:r>
      <w:proofErr w:type="gramEnd"/>
      <w:r>
        <w:rPr>
          <w:i/>
          <w:iCs/>
        </w:rPr>
        <w:t xml:space="preserve"> preparing for extreme events</w:t>
      </w:r>
      <w:r>
        <w:t>. University Of Pittsburgh Press.</w:t>
      </w:r>
    </w:p>
    <w:p w14:paraId="55CB4B44" w14:textId="77777777" w:rsidR="0018691B" w:rsidRDefault="0018691B" w:rsidP="0018691B">
      <w:pPr>
        <w:pStyle w:val="NormalWeb"/>
        <w:spacing w:before="0" w:beforeAutospacing="0" w:after="0" w:afterAutospacing="0" w:line="480" w:lineRule="auto"/>
        <w:ind w:left="720" w:hanging="720"/>
      </w:pPr>
      <w:r>
        <w:t>Cutter, S. L. (2024). The Origin and Diffusion of the Social Vulnerability Index (</w:t>
      </w:r>
      <w:proofErr w:type="spellStart"/>
      <w:r>
        <w:t>SoVI</w:t>
      </w:r>
      <w:proofErr w:type="spellEnd"/>
      <w:r>
        <w:t xml:space="preserve">). </w:t>
      </w:r>
      <w:r>
        <w:rPr>
          <w:i/>
          <w:iCs/>
        </w:rPr>
        <w:t>International Journal of Disaster Risk Reduction</w:t>
      </w:r>
      <w:r>
        <w:t xml:space="preserve">, </w:t>
      </w:r>
      <w:r>
        <w:rPr>
          <w:i/>
          <w:iCs/>
        </w:rPr>
        <w:t>109</w:t>
      </w:r>
      <w:r>
        <w:t>, 104576–104576. https://doi.org/10.1016/j.ijdrr.2024.104576</w:t>
      </w:r>
    </w:p>
    <w:p w14:paraId="731358C1" w14:textId="77777777" w:rsidR="0018691B" w:rsidRDefault="0018691B" w:rsidP="0018691B">
      <w:pPr>
        <w:pStyle w:val="NormalWeb"/>
        <w:spacing w:before="0" w:beforeAutospacing="0" w:after="0" w:afterAutospacing="0" w:line="480" w:lineRule="auto"/>
        <w:ind w:left="720" w:hanging="720"/>
      </w:pPr>
      <w:proofErr w:type="spellStart"/>
      <w:r>
        <w:t>Kapucu</w:t>
      </w:r>
      <w:proofErr w:type="spellEnd"/>
      <w:r>
        <w:t xml:space="preserve">, N., &amp; </w:t>
      </w:r>
      <w:proofErr w:type="spellStart"/>
      <w:r>
        <w:t>Garayev</w:t>
      </w:r>
      <w:proofErr w:type="spellEnd"/>
      <w:r>
        <w:t xml:space="preserve">, V. (2011). Collaborative Decision-Making in Emergency and Disaster Management. </w:t>
      </w:r>
      <w:r>
        <w:rPr>
          <w:i/>
          <w:iCs/>
        </w:rPr>
        <w:t>International Journal of Public Administration</w:t>
      </w:r>
      <w:r>
        <w:t xml:space="preserve">, </w:t>
      </w:r>
      <w:r>
        <w:rPr>
          <w:i/>
          <w:iCs/>
        </w:rPr>
        <w:t>34</w:t>
      </w:r>
      <w:r>
        <w:t>(6), 366–375. https://doi.org/10.1080/01900692.2011.561477</w:t>
      </w:r>
    </w:p>
    <w:p w14:paraId="4840C7EB" w14:textId="77777777" w:rsidR="0018691B" w:rsidRDefault="0018691B" w:rsidP="0018691B">
      <w:pPr>
        <w:pStyle w:val="NormalWeb"/>
        <w:spacing w:before="0" w:beforeAutospacing="0" w:after="0" w:afterAutospacing="0" w:line="480" w:lineRule="auto"/>
        <w:ind w:left="720" w:hanging="720"/>
      </w:pPr>
      <w:proofErr w:type="spellStart"/>
      <w:r>
        <w:t>Kleinheksel</w:t>
      </w:r>
      <w:proofErr w:type="spellEnd"/>
      <w:r>
        <w:t xml:space="preserve">, A. J., Winston, N. R., Tawfik, H., &amp; Wyatt, T. R. (2020). Demystifying Content Analysis. </w:t>
      </w:r>
      <w:r>
        <w:rPr>
          <w:i/>
          <w:iCs/>
        </w:rPr>
        <w:t>American Journal of Pharmaceutical Education</w:t>
      </w:r>
      <w:r>
        <w:t xml:space="preserve">, </w:t>
      </w:r>
      <w:r>
        <w:rPr>
          <w:i/>
          <w:iCs/>
        </w:rPr>
        <w:t>84</w:t>
      </w:r>
      <w:r>
        <w:t>(1). https://doi.org/10.5688/ajpe7113</w:t>
      </w:r>
    </w:p>
    <w:p w14:paraId="78425A1C" w14:textId="77777777" w:rsidR="0018691B" w:rsidRDefault="0018691B" w:rsidP="0018691B">
      <w:pPr>
        <w:pStyle w:val="NormalWeb"/>
        <w:spacing w:before="0" w:beforeAutospacing="0" w:after="0" w:afterAutospacing="0" w:line="480" w:lineRule="auto"/>
        <w:ind w:left="720" w:hanging="720"/>
      </w:pPr>
      <w:r>
        <w:t xml:space="preserve">Martín, C., </w:t>
      </w:r>
      <w:proofErr w:type="spellStart"/>
      <w:r>
        <w:t>Teles</w:t>
      </w:r>
      <w:proofErr w:type="spellEnd"/>
      <w:r>
        <w:t xml:space="preserve">, D., &amp; DuBois, N. (2021). Understanding the Pace of HUD’s Disaster Housing Recovery Efforts. </w:t>
      </w:r>
      <w:r>
        <w:rPr>
          <w:i/>
          <w:iCs/>
        </w:rPr>
        <w:t>Housing Policy Debate</w:t>
      </w:r>
      <w:r>
        <w:t>, 1–26. https://doi.org/10.1080/10511482.2021.1875258</w:t>
      </w:r>
    </w:p>
    <w:p w14:paraId="2487D8EA" w14:textId="77777777" w:rsidR="0018691B" w:rsidRDefault="0018691B" w:rsidP="0018691B">
      <w:pPr>
        <w:pStyle w:val="NormalWeb"/>
        <w:spacing w:before="0" w:beforeAutospacing="0" w:after="0" w:afterAutospacing="0" w:line="480" w:lineRule="auto"/>
        <w:ind w:left="720" w:hanging="720"/>
      </w:pPr>
      <w:r>
        <w:t xml:space="preserve">Office, A. (2022, November 15). </w:t>
      </w:r>
      <w:r>
        <w:rPr>
          <w:i/>
          <w:iCs/>
        </w:rPr>
        <w:t>Disaster Recovery: Actions Needed to Improve the Federal Approach</w:t>
      </w:r>
      <w:r>
        <w:t>. Gao.gov. https://www.gao.gov/products/gao-23-104956?utm_source=chatgpt.com</w:t>
      </w:r>
    </w:p>
    <w:p w14:paraId="0A993C7D" w14:textId="77777777" w:rsidR="0018691B" w:rsidRDefault="0018691B" w:rsidP="0018691B">
      <w:pPr>
        <w:pStyle w:val="NormalWeb"/>
        <w:spacing w:before="0" w:beforeAutospacing="0" w:after="0" w:afterAutospacing="0" w:line="480" w:lineRule="auto"/>
        <w:ind w:left="720" w:hanging="720"/>
      </w:pPr>
      <w:r>
        <w:t xml:space="preserve">Park, K., &amp; Kwon, S. A. (2024). A study on the relationship between flood safety awareness and vulnerability/resilience. </w:t>
      </w:r>
      <w:proofErr w:type="spellStart"/>
      <w:r>
        <w:rPr>
          <w:i/>
          <w:iCs/>
        </w:rPr>
        <w:t>Heliyon</w:t>
      </w:r>
      <w:proofErr w:type="spellEnd"/>
      <w:r>
        <w:t xml:space="preserve">, </w:t>
      </w:r>
      <w:r>
        <w:rPr>
          <w:i/>
          <w:iCs/>
        </w:rPr>
        <w:t>10</w:t>
      </w:r>
      <w:r>
        <w:t>(21), e39819–e39819. https://doi.org/10.1016/j.heliyon.2024.e39819</w:t>
      </w:r>
    </w:p>
    <w:p w14:paraId="33B232B8" w14:textId="77777777" w:rsidR="0018691B" w:rsidRDefault="0018691B" w:rsidP="0018691B">
      <w:pPr>
        <w:pStyle w:val="NormalWeb"/>
        <w:spacing w:before="0" w:beforeAutospacing="0" w:after="0" w:afterAutospacing="0" w:line="480" w:lineRule="auto"/>
        <w:ind w:left="720" w:hanging="720"/>
      </w:pPr>
      <w:proofErr w:type="spellStart"/>
      <w:r>
        <w:lastRenderedPageBreak/>
        <w:t>Prete</w:t>
      </w:r>
      <w:proofErr w:type="spellEnd"/>
      <w:r>
        <w:t xml:space="preserve">, C. D., Valente, M., </w:t>
      </w:r>
      <w:proofErr w:type="spellStart"/>
      <w:r>
        <w:t>Abesha</w:t>
      </w:r>
      <w:proofErr w:type="spellEnd"/>
      <w:r>
        <w:t xml:space="preserve"> </w:t>
      </w:r>
      <w:proofErr w:type="spellStart"/>
      <w:r>
        <w:t>Mitiku</w:t>
      </w:r>
      <w:proofErr w:type="spellEnd"/>
      <w:r>
        <w:t xml:space="preserve"> </w:t>
      </w:r>
      <w:proofErr w:type="spellStart"/>
      <w:r>
        <w:t>Saji</w:t>
      </w:r>
      <w:proofErr w:type="spellEnd"/>
      <w:r>
        <w:t xml:space="preserve">, Amir </w:t>
      </w:r>
      <w:proofErr w:type="spellStart"/>
      <w:r>
        <w:t>Khorram-Manesh</w:t>
      </w:r>
      <w:proofErr w:type="spellEnd"/>
      <w:r>
        <w:t xml:space="preserve">, &amp; Luca </w:t>
      </w:r>
      <w:proofErr w:type="spellStart"/>
      <w:r>
        <w:t>Ragazzoni</w:t>
      </w:r>
      <w:proofErr w:type="spellEnd"/>
      <w:r>
        <w:t xml:space="preserve">. (2025). Understanding vulnerability to flood-induced disasters: a comprehensive scoping review on at-risk individuals and evacuation challenges. </w:t>
      </w:r>
      <w:r>
        <w:rPr>
          <w:i/>
          <w:iCs/>
        </w:rPr>
        <w:t>BMC Health Services Research</w:t>
      </w:r>
      <w:r>
        <w:t>. https://doi.org/10.1186/s12913-025-13898-w</w:t>
      </w:r>
    </w:p>
    <w:p w14:paraId="5650963B" w14:textId="77777777" w:rsidR="0018691B" w:rsidRDefault="0018691B" w:rsidP="0018691B">
      <w:pPr>
        <w:pStyle w:val="NormalWeb"/>
        <w:spacing w:before="0" w:beforeAutospacing="0" w:after="0" w:afterAutospacing="0" w:line="480" w:lineRule="auto"/>
        <w:ind w:left="720" w:hanging="720"/>
      </w:pPr>
      <w:r>
        <w:t xml:space="preserve">Tang, P., Shao, S., Zhou, D., &amp; Hu, H. (2021). Understanding the Collaborative Process and Its Effects on Perceived Outcomes during Emergency Response in China: From Perspectives of Local Government Sectors. </w:t>
      </w:r>
      <w:r>
        <w:rPr>
          <w:i/>
          <w:iCs/>
        </w:rPr>
        <w:t>Sustainability</w:t>
      </w:r>
      <w:r>
        <w:t xml:space="preserve">, </w:t>
      </w:r>
      <w:r>
        <w:rPr>
          <w:i/>
          <w:iCs/>
        </w:rPr>
        <w:t>13</w:t>
      </w:r>
      <w:r>
        <w:t>(14), 7605. https://doi.org/10.3390/su13147605</w:t>
      </w:r>
    </w:p>
    <w:p w14:paraId="6CA04A05" w14:textId="77777777" w:rsidR="0018691B" w:rsidRDefault="0018691B" w:rsidP="0018691B">
      <w:pPr>
        <w:pStyle w:val="NormalWeb"/>
        <w:spacing w:before="0" w:beforeAutospacing="0" w:after="0" w:afterAutospacing="0" w:line="480" w:lineRule="auto"/>
        <w:ind w:left="720" w:hanging="720"/>
      </w:pPr>
      <w:r>
        <w:t xml:space="preserve">Tate, E., Rahman, M. A., </w:t>
      </w:r>
      <w:proofErr w:type="spellStart"/>
      <w:r>
        <w:t>Emrich</w:t>
      </w:r>
      <w:proofErr w:type="spellEnd"/>
      <w:r>
        <w:t xml:space="preserve">, C. T., &amp; Sampson, C. C. (2021). Flood exposure and social vulnerability in the United States. </w:t>
      </w:r>
      <w:r>
        <w:rPr>
          <w:i/>
          <w:iCs/>
        </w:rPr>
        <w:t>Natural Hazards</w:t>
      </w:r>
      <w:r>
        <w:t xml:space="preserve">, </w:t>
      </w:r>
      <w:r>
        <w:rPr>
          <w:i/>
          <w:iCs/>
        </w:rPr>
        <w:t>106</w:t>
      </w:r>
      <w:r>
        <w:t>. https://doi.org/10.1007/s11069-020-04470-2</w:t>
      </w:r>
    </w:p>
    <w:p w14:paraId="5C4493EE" w14:textId="77777777" w:rsidR="0018691B" w:rsidRDefault="0018691B" w:rsidP="0018691B">
      <w:pPr>
        <w:pStyle w:val="NormalWeb"/>
        <w:spacing w:before="0" w:beforeAutospacing="0" w:after="0" w:afterAutospacing="0" w:line="480" w:lineRule="auto"/>
        <w:ind w:left="720" w:hanging="720"/>
      </w:pPr>
      <w:r>
        <w:t xml:space="preserve">USDA Climate Hubs. (2020). </w:t>
      </w:r>
      <w:r>
        <w:rPr>
          <w:i/>
          <w:iCs/>
        </w:rPr>
        <w:t>Preparing for Disaster in the Midwest: The Land of Extremes | USDA Climate Hubs</w:t>
      </w:r>
      <w:r>
        <w:t>. Www.climatehubs.usda.gov. https://www.climatehubs.usda.gov/hubs/midwest/topic/preparing-disaster-midwest-land-extremes</w:t>
      </w:r>
    </w:p>
    <w:p w14:paraId="4DEC03E0" w14:textId="77777777" w:rsidR="0018691B" w:rsidRDefault="0018691B" w:rsidP="0018691B">
      <w:pPr>
        <w:pStyle w:val="NormalWeb"/>
        <w:spacing w:before="0" w:beforeAutospacing="0" w:after="0" w:afterAutospacing="0" w:line="480" w:lineRule="auto"/>
        <w:ind w:left="720" w:hanging="720"/>
      </w:pPr>
      <w:r>
        <w:t xml:space="preserve">Wilson, B., Tate, E., &amp; </w:t>
      </w:r>
      <w:proofErr w:type="spellStart"/>
      <w:r>
        <w:t>Emrich</w:t>
      </w:r>
      <w:proofErr w:type="spellEnd"/>
      <w:r>
        <w:t xml:space="preserve">, C. T. (2021). Flood Recovery Outcomes and Disaster Assistance Barriers for Vulnerable Populations. </w:t>
      </w:r>
      <w:r>
        <w:rPr>
          <w:i/>
          <w:iCs/>
        </w:rPr>
        <w:t>Frontiers in Water</w:t>
      </w:r>
      <w:r>
        <w:t xml:space="preserve">, </w:t>
      </w:r>
      <w:r>
        <w:rPr>
          <w:i/>
          <w:iCs/>
        </w:rPr>
        <w:t>3</w:t>
      </w:r>
      <w:r>
        <w:t>. https://doi.org/10.3389/frwa.2021.752307</w:t>
      </w:r>
    </w:p>
    <w:p w14:paraId="6E59BFBD" w14:textId="060B5F77" w:rsidR="0029749B" w:rsidRDefault="0029749B" w:rsidP="0018691B">
      <w:pPr>
        <w:pStyle w:val="NormalWeb"/>
        <w:spacing w:before="0" w:beforeAutospacing="0" w:after="0" w:afterAutospacing="0" w:line="480" w:lineRule="auto"/>
        <w:ind w:left="720" w:hanging="720"/>
        <w:contextualSpacing/>
      </w:pPr>
    </w:p>
    <w:sectPr w:rsidR="0029749B">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3DB92" w14:textId="77777777" w:rsidR="002D6F88" w:rsidRDefault="002D6F88" w:rsidP="007D7D46">
      <w:r>
        <w:separator/>
      </w:r>
    </w:p>
  </w:endnote>
  <w:endnote w:type="continuationSeparator" w:id="0">
    <w:p w14:paraId="03904665" w14:textId="77777777" w:rsidR="002D6F88" w:rsidRDefault="002D6F88" w:rsidP="007D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89FEF" w14:textId="77777777" w:rsidR="002D6F88" w:rsidRDefault="002D6F88" w:rsidP="007D7D46">
      <w:r>
        <w:separator/>
      </w:r>
    </w:p>
  </w:footnote>
  <w:footnote w:type="continuationSeparator" w:id="0">
    <w:p w14:paraId="013C1A3C" w14:textId="77777777" w:rsidR="002D6F88" w:rsidRDefault="002D6F88" w:rsidP="007D7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412005"/>
      <w:docPartObj>
        <w:docPartGallery w:val="Page Numbers (Top of Page)"/>
        <w:docPartUnique/>
      </w:docPartObj>
    </w:sdtPr>
    <w:sdtEndPr>
      <w:rPr>
        <w:noProof/>
      </w:rPr>
    </w:sdtEndPr>
    <w:sdtContent>
      <w:p w14:paraId="2363C119" w14:textId="4EDCF25D" w:rsidR="007D7D46" w:rsidRDefault="007D7D4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01C038" w14:textId="77777777" w:rsidR="007D7D46" w:rsidRDefault="007D7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1824"/>
    <w:multiLevelType w:val="hybridMultilevel"/>
    <w:tmpl w:val="8CDE8BB6"/>
    <w:lvl w:ilvl="0" w:tplc="992498A4">
      <w:start w:val="1"/>
      <w:numFmt w:val="bullet"/>
      <w:lvlText w:val="●"/>
      <w:lvlJc w:val="left"/>
      <w:pPr>
        <w:ind w:left="720" w:hanging="360"/>
      </w:pPr>
    </w:lvl>
    <w:lvl w:ilvl="1" w:tplc="3396510C">
      <w:start w:val="1"/>
      <w:numFmt w:val="bullet"/>
      <w:lvlText w:val="○"/>
      <w:lvlJc w:val="left"/>
      <w:pPr>
        <w:ind w:left="1440" w:hanging="360"/>
      </w:pPr>
    </w:lvl>
    <w:lvl w:ilvl="2" w:tplc="9FF4DE72">
      <w:start w:val="1"/>
      <w:numFmt w:val="bullet"/>
      <w:lvlText w:val="■"/>
      <w:lvlJc w:val="left"/>
      <w:pPr>
        <w:ind w:left="2160" w:hanging="360"/>
      </w:pPr>
    </w:lvl>
    <w:lvl w:ilvl="3" w:tplc="61183126">
      <w:start w:val="1"/>
      <w:numFmt w:val="bullet"/>
      <w:lvlText w:val="●"/>
      <w:lvlJc w:val="left"/>
      <w:pPr>
        <w:ind w:left="2880" w:hanging="360"/>
      </w:pPr>
    </w:lvl>
    <w:lvl w:ilvl="4" w:tplc="F6BE860A">
      <w:start w:val="1"/>
      <w:numFmt w:val="bullet"/>
      <w:lvlText w:val="○"/>
      <w:lvlJc w:val="left"/>
      <w:pPr>
        <w:ind w:left="3600" w:hanging="360"/>
      </w:pPr>
    </w:lvl>
    <w:lvl w:ilvl="5" w:tplc="A1827A94">
      <w:start w:val="1"/>
      <w:numFmt w:val="bullet"/>
      <w:lvlText w:val="■"/>
      <w:lvlJc w:val="left"/>
      <w:pPr>
        <w:ind w:left="4320" w:hanging="360"/>
      </w:pPr>
    </w:lvl>
    <w:lvl w:ilvl="6" w:tplc="FEF0DD22">
      <w:start w:val="1"/>
      <w:numFmt w:val="bullet"/>
      <w:lvlText w:val="●"/>
      <w:lvlJc w:val="left"/>
      <w:pPr>
        <w:ind w:left="5040" w:hanging="360"/>
      </w:pPr>
    </w:lvl>
    <w:lvl w:ilvl="7" w:tplc="F7286692">
      <w:start w:val="1"/>
      <w:numFmt w:val="bullet"/>
      <w:lvlText w:val="●"/>
      <w:lvlJc w:val="left"/>
      <w:pPr>
        <w:ind w:left="5760" w:hanging="360"/>
      </w:pPr>
    </w:lvl>
    <w:lvl w:ilvl="8" w:tplc="4B1CDD74">
      <w:start w:val="1"/>
      <w:numFmt w:val="bullet"/>
      <w:lvlText w:val="●"/>
      <w:lvlJc w:val="left"/>
      <w:pPr>
        <w:ind w:left="6480" w:hanging="360"/>
      </w:pPr>
    </w:lvl>
  </w:abstractNum>
  <w:abstractNum w:abstractNumId="1" w15:restartNumberingAfterBreak="0">
    <w:nsid w:val="73833803"/>
    <w:multiLevelType w:val="hybridMultilevel"/>
    <w:tmpl w:val="F6500DC2"/>
    <w:lvl w:ilvl="0" w:tplc="05340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49B"/>
    <w:rsid w:val="0009351B"/>
    <w:rsid w:val="001013F6"/>
    <w:rsid w:val="00112B55"/>
    <w:rsid w:val="00182F70"/>
    <w:rsid w:val="0018691B"/>
    <w:rsid w:val="00263BF1"/>
    <w:rsid w:val="00286257"/>
    <w:rsid w:val="0029749B"/>
    <w:rsid w:val="002A4F2F"/>
    <w:rsid w:val="002D6F88"/>
    <w:rsid w:val="002F30A8"/>
    <w:rsid w:val="00352410"/>
    <w:rsid w:val="003D35DB"/>
    <w:rsid w:val="004061AB"/>
    <w:rsid w:val="004675A3"/>
    <w:rsid w:val="00480A5A"/>
    <w:rsid w:val="004C5DFB"/>
    <w:rsid w:val="004C7B26"/>
    <w:rsid w:val="00553281"/>
    <w:rsid w:val="005C00D4"/>
    <w:rsid w:val="005D737D"/>
    <w:rsid w:val="005E6A22"/>
    <w:rsid w:val="006745CE"/>
    <w:rsid w:val="006D0516"/>
    <w:rsid w:val="006F4343"/>
    <w:rsid w:val="00745A5E"/>
    <w:rsid w:val="0078328A"/>
    <w:rsid w:val="007D7D46"/>
    <w:rsid w:val="008A0D19"/>
    <w:rsid w:val="008E2B3C"/>
    <w:rsid w:val="00A94D5A"/>
    <w:rsid w:val="00B564A7"/>
    <w:rsid w:val="00B921EF"/>
    <w:rsid w:val="00BA3EF8"/>
    <w:rsid w:val="00C33C14"/>
    <w:rsid w:val="00C36FFF"/>
    <w:rsid w:val="00C40F6E"/>
    <w:rsid w:val="00C75637"/>
    <w:rsid w:val="00D769BF"/>
    <w:rsid w:val="00D858C4"/>
    <w:rsid w:val="00DB7EE5"/>
    <w:rsid w:val="00DC4ED0"/>
    <w:rsid w:val="00E5227F"/>
    <w:rsid w:val="00E53727"/>
    <w:rsid w:val="00EC2CC7"/>
    <w:rsid w:val="00EF3F95"/>
    <w:rsid w:val="00EF42BD"/>
    <w:rsid w:val="00EF5A6B"/>
    <w:rsid w:val="00F76EC1"/>
    <w:rsid w:val="00FB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7BE857"/>
  <w15:docId w15:val="{E66F2EC0-6600-486C-AD38-173D0B8C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b/>
      <w:bCs/>
      <w:color w:val="000000"/>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D7D46"/>
    <w:pPr>
      <w:tabs>
        <w:tab w:val="center" w:pos="4680"/>
        <w:tab w:val="right" w:pos="9360"/>
      </w:tabs>
    </w:pPr>
  </w:style>
  <w:style w:type="character" w:customStyle="1" w:styleId="HeaderChar">
    <w:name w:val="Header Char"/>
    <w:basedOn w:val="DefaultParagraphFont"/>
    <w:link w:val="Header"/>
    <w:uiPriority w:val="99"/>
    <w:rsid w:val="007D7D46"/>
  </w:style>
  <w:style w:type="paragraph" w:styleId="Footer">
    <w:name w:val="footer"/>
    <w:basedOn w:val="Normal"/>
    <w:link w:val="FooterChar"/>
    <w:uiPriority w:val="99"/>
    <w:unhideWhenUsed/>
    <w:rsid w:val="007D7D46"/>
    <w:pPr>
      <w:tabs>
        <w:tab w:val="center" w:pos="4680"/>
        <w:tab w:val="right" w:pos="9360"/>
      </w:tabs>
    </w:pPr>
  </w:style>
  <w:style w:type="character" w:customStyle="1" w:styleId="FooterChar">
    <w:name w:val="Footer Char"/>
    <w:basedOn w:val="DefaultParagraphFont"/>
    <w:link w:val="Footer"/>
    <w:uiPriority w:val="99"/>
    <w:rsid w:val="007D7D46"/>
  </w:style>
  <w:style w:type="paragraph" w:styleId="NormalWeb">
    <w:name w:val="Normal (Web)"/>
    <w:basedOn w:val="Normal"/>
    <w:uiPriority w:val="99"/>
    <w:unhideWhenUsed/>
    <w:rsid w:val="00C33C14"/>
    <w:pPr>
      <w:spacing w:before="100" w:beforeAutospacing="1" w:after="100" w:afterAutospacing="1"/>
    </w:pPr>
  </w:style>
  <w:style w:type="character" w:styleId="UnresolvedMention">
    <w:name w:val="Unresolved Mention"/>
    <w:basedOn w:val="DefaultParagraphFont"/>
    <w:uiPriority w:val="99"/>
    <w:semiHidden/>
    <w:unhideWhenUsed/>
    <w:rsid w:val="00C33C14"/>
    <w:rPr>
      <w:color w:val="605E5C"/>
      <w:shd w:val="clear" w:color="auto" w:fill="E1DFDD"/>
    </w:rPr>
  </w:style>
  <w:style w:type="character" w:styleId="CommentReference">
    <w:name w:val="annotation reference"/>
    <w:basedOn w:val="DefaultParagraphFont"/>
    <w:uiPriority w:val="99"/>
    <w:semiHidden/>
    <w:unhideWhenUsed/>
    <w:rsid w:val="00C40F6E"/>
    <w:rPr>
      <w:sz w:val="16"/>
      <w:szCs w:val="16"/>
    </w:rPr>
  </w:style>
  <w:style w:type="paragraph" w:styleId="CommentText">
    <w:name w:val="annotation text"/>
    <w:basedOn w:val="Normal"/>
    <w:link w:val="CommentTextChar"/>
    <w:uiPriority w:val="99"/>
    <w:unhideWhenUsed/>
    <w:rsid w:val="00C40F6E"/>
    <w:rPr>
      <w:sz w:val="20"/>
      <w:szCs w:val="20"/>
    </w:rPr>
  </w:style>
  <w:style w:type="character" w:customStyle="1" w:styleId="CommentTextChar">
    <w:name w:val="Comment Text Char"/>
    <w:basedOn w:val="DefaultParagraphFont"/>
    <w:link w:val="CommentText"/>
    <w:uiPriority w:val="99"/>
    <w:rsid w:val="00C40F6E"/>
    <w:rPr>
      <w:sz w:val="20"/>
      <w:szCs w:val="20"/>
    </w:rPr>
  </w:style>
  <w:style w:type="paragraph" w:styleId="CommentSubject">
    <w:name w:val="annotation subject"/>
    <w:basedOn w:val="CommentText"/>
    <w:next w:val="CommentText"/>
    <w:link w:val="CommentSubjectChar"/>
    <w:uiPriority w:val="99"/>
    <w:semiHidden/>
    <w:unhideWhenUsed/>
    <w:rsid w:val="00C40F6E"/>
    <w:rPr>
      <w:b/>
      <w:bCs/>
    </w:rPr>
  </w:style>
  <w:style w:type="character" w:customStyle="1" w:styleId="CommentSubjectChar">
    <w:name w:val="Comment Subject Char"/>
    <w:basedOn w:val="CommentTextChar"/>
    <w:link w:val="CommentSubject"/>
    <w:uiPriority w:val="99"/>
    <w:semiHidden/>
    <w:rsid w:val="00C40F6E"/>
    <w:rPr>
      <w:b/>
      <w:bCs/>
      <w:sz w:val="20"/>
      <w:szCs w:val="20"/>
    </w:rPr>
  </w:style>
  <w:style w:type="character" w:customStyle="1" w:styleId="cursor-pointer">
    <w:name w:val="cursor-pointer"/>
    <w:basedOn w:val="DefaultParagraphFont"/>
    <w:rsid w:val="00BA3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95669">
      <w:bodyDiv w:val="1"/>
      <w:marLeft w:val="0"/>
      <w:marRight w:val="0"/>
      <w:marTop w:val="0"/>
      <w:marBottom w:val="0"/>
      <w:divBdr>
        <w:top w:val="none" w:sz="0" w:space="0" w:color="auto"/>
        <w:left w:val="none" w:sz="0" w:space="0" w:color="auto"/>
        <w:bottom w:val="none" w:sz="0" w:space="0" w:color="auto"/>
        <w:right w:val="none" w:sz="0" w:space="0" w:color="auto"/>
      </w:divBdr>
    </w:div>
    <w:div w:id="1142969676">
      <w:bodyDiv w:val="1"/>
      <w:marLeft w:val="0"/>
      <w:marRight w:val="0"/>
      <w:marTop w:val="0"/>
      <w:marBottom w:val="0"/>
      <w:divBdr>
        <w:top w:val="none" w:sz="0" w:space="0" w:color="auto"/>
        <w:left w:val="none" w:sz="0" w:space="0" w:color="auto"/>
        <w:bottom w:val="none" w:sz="0" w:space="0" w:color="auto"/>
        <w:right w:val="none" w:sz="0" w:space="0" w:color="auto"/>
      </w:divBdr>
    </w:div>
    <w:div w:id="1397821683">
      <w:bodyDiv w:val="1"/>
      <w:marLeft w:val="0"/>
      <w:marRight w:val="0"/>
      <w:marTop w:val="0"/>
      <w:marBottom w:val="0"/>
      <w:divBdr>
        <w:top w:val="none" w:sz="0" w:space="0" w:color="auto"/>
        <w:left w:val="none" w:sz="0" w:space="0" w:color="auto"/>
        <w:bottom w:val="none" w:sz="0" w:space="0" w:color="auto"/>
        <w:right w:val="none" w:sz="0" w:space="0" w:color="auto"/>
      </w:divBdr>
    </w:div>
    <w:div w:id="1455060197">
      <w:bodyDiv w:val="1"/>
      <w:marLeft w:val="0"/>
      <w:marRight w:val="0"/>
      <w:marTop w:val="0"/>
      <w:marBottom w:val="0"/>
      <w:divBdr>
        <w:top w:val="none" w:sz="0" w:space="0" w:color="auto"/>
        <w:left w:val="none" w:sz="0" w:space="0" w:color="auto"/>
        <w:bottom w:val="none" w:sz="0" w:space="0" w:color="auto"/>
        <w:right w:val="none" w:sz="0" w:space="0" w:color="auto"/>
      </w:divBdr>
    </w:div>
    <w:div w:id="1642535589">
      <w:bodyDiv w:val="1"/>
      <w:marLeft w:val="0"/>
      <w:marRight w:val="0"/>
      <w:marTop w:val="0"/>
      <w:marBottom w:val="0"/>
      <w:divBdr>
        <w:top w:val="none" w:sz="0" w:space="0" w:color="auto"/>
        <w:left w:val="none" w:sz="0" w:space="0" w:color="auto"/>
        <w:bottom w:val="none" w:sz="0" w:space="0" w:color="auto"/>
        <w:right w:val="none" w:sz="0" w:space="0" w:color="auto"/>
      </w:divBdr>
      <w:divsChild>
        <w:div w:id="1612779250">
          <w:marLeft w:val="-720"/>
          <w:marRight w:val="0"/>
          <w:marTop w:val="0"/>
          <w:marBottom w:val="0"/>
          <w:divBdr>
            <w:top w:val="none" w:sz="0" w:space="0" w:color="auto"/>
            <w:left w:val="none" w:sz="0" w:space="0" w:color="auto"/>
            <w:bottom w:val="none" w:sz="0" w:space="0" w:color="auto"/>
            <w:right w:val="none" w:sz="0" w:space="0" w:color="auto"/>
          </w:divBdr>
        </w:div>
      </w:divsChild>
    </w:div>
    <w:div w:id="1768453864">
      <w:bodyDiv w:val="1"/>
      <w:marLeft w:val="0"/>
      <w:marRight w:val="0"/>
      <w:marTop w:val="0"/>
      <w:marBottom w:val="0"/>
      <w:divBdr>
        <w:top w:val="none" w:sz="0" w:space="0" w:color="auto"/>
        <w:left w:val="none" w:sz="0" w:space="0" w:color="auto"/>
        <w:bottom w:val="none" w:sz="0" w:space="0" w:color="auto"/>
        <w:right w:val="none" w:sz="0" w:space="0" w:color="auto"/>
      </w:divBdr>
      <w:divsChild>
        <w:div w:id="965890293">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3228</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cp:revision>
  <dcterms:created xsi:type="dcterms:W3CDTF">2026-04-25T16:26:00Z</dcterms:created>
  <dcterms:modified xsi:type="dcterms:W3CDTF">2026-04-25T16:26:00Z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7e234780-079d-4ed4-8058-47b7120809f5</vt:lpwstr>
  </property>
</Properties>
</file>