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F104" w14:textId="77777777" w:rsidR="00A03CB0" w:rsidRDefault="00A03CB0" w:rsidP="006F614D">
      <w:pPr>
        <w:spacing w:line="480" w:lineRule="auto"/>
        <w:contextualSpacing/>
        <w:jc w:val="center"/>
        <w:rPr>
          <w:b/>
          <w:bCs/>
          <w:sz w:val="24"/>
          <w:szCs w:val="24"/>
        </w:rPr>
      </w:pPr>
    </w:p>
    <w:p w14:paraId="1EFBD7F9" w14:textId="77777777" w:rsidR="00A03CB0" w:rsidRDefault="00A03CB0" w:rsidP="006F614D">
      <w:pPr>
        <w:spacing w:line="480" w:lineRule="auto"/>
        <w:contextualSpacing/>
        <w:jc w:val="center"/>
        <w:rPr>
          <w:b/>
          <w:bCs/>
          <w:sz w:val="24"/>
          <w:szCs w:val="24"/>
        </w:rPr>
      </w:pPr>
    </w:p>
    <w:p w14:paraId="162FE6E0" w14:textId="77777777" w:rsidR="00A03CB0" w:rsidRDefault="00A03CB0" w:rsidP="006F614D">
      <w:pPr>
        <w:spacing w:line="480" w:lineRule="auto"/>
        <w:contextualSpacing/>
        <w:jc w:val="center"/>
        <w:rPr>
          <w:b/>
          <w:bCs/>
          <w:sz w:val="24"/>
          <w:szCs w:val="24"/>
        </w:rPr>
      </w:pPr>
    </w:p>
    <w:p w14:paraId="3BD402FD" w14:textId="77777777" w:rsidR="00A03CB0" w:rsidRDefault="00A03CB0" w:rsidP="006F614D">
      <w:pPr>
        <w:spacing w:line="480" w:lineRule="auto"/>
        <w:contextualSpacing/>
        <w:jc w:val="center"/>
        <w:rPr>
          <w:b/>
          <w:bCs/>
          <w:sz w:val="24"/>
          <w:szCs w:val="24"/>
        </w:rPr>
      </w:pPr>
    </w:p>
    <w:p w14:paraId="01230FF2" w14:textId="77777777" w:rsidR="00A03CB0" w:rsidRDefault="00A03CB0" w:rsidP="006F614D">
      <w:pPr>
        <w:spacing w:line="480" w:lineRule="auto"/>
        <w:contextualSpacing/>
        <w:jc w:val="center"/>
        <w:rPr>
          <w:b/>
          <w:bCs/>
          <w:sz w:val="24"/>
          <w:szCs w:val="24"/>
        </w:rPr>
      </w:pPr>
    </w:p>
    <w:p w14:paraId="37771805" w14:textId="77777777" w:rsidR="00A03CB0" w:rsidRDefault="00A03CB0" w:rsidP="006F614D">
      <w:pPr>
        <w:spacing w:line="480" w:lineRule="auto"/>
        <w:contextualSpacing/>
        <w:jc w:val="center"/>
        <w:rPr>
          <w:b/>
          <w:bCs/>
          <w:sz w:val="24"/>
          <w:szCs w:val="24"/>
        </w:rPr>
      </w:pPr>
    </w:p>
    <w:p w14:paraId="54B8CF32" w14:textId="77777777" w:rsidR="00A03CB0" w:rsidRDefault="00A03CB0" w:rsidP="006F614D">
      <w:pPr>
        <w:spacing w:line="480" w:lineRule="auto"/>
        <w:contextualSpacing/>
        <w:jc w:val="center"/>
        <w:rPr>
          <w:b/>
          <w:bCs/>
          <w:sz w:val="24"/>
          <w:szCs w:val="24"/>
        </w:rPr>
      </w:pPr>
    </w:p>
    <w:p w14:paraId="6A1DF6DA" w14:textId="6EE14FA1" w:rsidR="00D6475C" w:rsidRDefault="00000000" w:rsidP="006F614D">
      <w:pPr>
        <w:spacing w:line="480" w:lineRule="auto"/>
        <w:contextualSpacing/>
        <w:jc w:val="center"/>
      </w:pPr>
      <w:r>
        <w:rPr>
          <w:b/>
          <w:bCs/>
          <w:sz w:val="24"/>
          <w:szCs w:val="24"/>
        </w:rPr>
        <w:t>Patient Rights: HIPAA, Privacy, Confidentiality, and Nursing Advocacy</w:t>
      </w:r>
    </w:p>
    <w:p w14:paraId="1A93F4DF" w14:textId="77777777" w:rsidR="00D6475C" w:rsidRDefault="00D6475C" w:rsidP="006F614D">
      <w:pPr>
        <w:spacing w:line="480" w:lineRule="auto"/>
        <w:contextualSpacing/>
        <w:jc w:val="center"/>
      </w:pPr>
    </w:p>
    <w:p w14:paraId="3925C32A" w14:textId="77777777" w:rsidR="00D6475C" w:rsidRDefault="00000000" w:rsidP="006F614D">
      <w:pPr>
        <w:spacing w:line="480" w:lineRule="auto"/>
        <w:contextualSpacing/>
        <w:jc w:val="center"/>
      </w:pPr>
      <w:r>
        <w:rPr>
          <w:sz w:val="24"/>
          <w:szCs w:val="24"/>
        </w:rPr>
        <w:t>[Student Name]</w:t>
      </w:r>
    </w:p>
    <w:p w14:paraId="78BCE5EA" w14:textId="77777777" w:rsidR="00D6475C" w:rsidRDefault="00000000" w:rsidP="006F614D">
      <w:pPr>
        <w:spacing w:line="480" w:lineRule="auto"/>
        <w:contextualSpacing/>
        <w:jc w:val="center"/>
      </w:pPr>
      <w:r>
        <w:rPr>
          <w:sz w:val="24"/>
          <w:szCs w:val="24"/>
        </w:rPr>
        <w:t>[Institution Name]</w:t>
      </w:r>
    </w:p>
    <w:p w14:paraId="01CD430A" w14:textId="77777777" w:rsidR="00D6475C" w:rsidRDefault="00000000" w:rsidP="006F614D">
      <w:pPr>
        <w:spacing w:line="480" w:lineRule="auto"/>
        <w:contextualSpacing/>
        <w:jc w:val="center"/>
      </w:pPr>
      <w:r>
        <w:rPr>
          <w:sz w:val="24"/>
          <w:szCs w:val="24"/>
        </w:rPr>
        <w:t>[Course Name and Number]</w:t>
      </w:r>
    </w:p>
    <w:p w14:paraId="3A918204" w14:textId="77777777" w:rsidR="00D6475C" w:rsidRDefault="00000000" w:rsidP="006F614D">
      <w:pPr>
        <w:spacing w:line="480" w:lineRule="auto"/>
        <w:contextualSpacing/>
        <w:jc w:val="center"/>
      </w:pPr>
      <w:r>
        <w:rPr>
          <w:sz w:val="24"/>
          <w:szCs w:val="24"/>
        </w:rPr>
        <w:t>[Instructor Name]</w:t>
      </w:r>
    </w:p>
    <w:p w14:paraId="05D45C93" w14:textId="46CE693B" w:rsidR="00801F1C" w:rsidRDefault="00000000" w:rsidP="006F614D">
      <w:pPr>
        <w:spacing w:line="480" w:lineRule="auto"/>
        <w:contextualSpacing/>
        <w:jc w:val="center"/>
        <w:rPr>
          <w:b/>
          <w:bCs/>
          <w:sz w:val="24"/>
          <w:szCs w:val="24"/>
        </w:rPr>
      </w:pPr>
      <w:r>
        <w:rPr>
          <w:sz w:val="24"/>
          <w:szCs w:val="24"/>
        </w:rPr>
        <w:t>[Date]</w:t>
      </w:r>
    </w:p>
    <w:p w14:paraId="7EBCB71D" w14:textId="77777777" w:rsidR="006F614D" w:rsidRDefault="006F614D">
      <w:pPr>
        <w:rPr>
          <w:b/>
          <w:bCs/>
          <w:sz w:val="24"/>
          <w:szCs w:val="24"/>
        </w:rPr>
      </w:pPr>
      <w:r>
        <w:rPr>
          <w:b/>
          <w:bCs/>
          <w:sz w:val="24"/>
          <w:szCs w:val="24"/>
        </w:rPr>
        <w:br w:type="page"/>
      </w:r>
    </w:p>
    <w:p w14:paraId="63CD7423" w14:textId="77A7E302" w:rsidR="00D6475C" w:rsidRDefault="00000000" w:rsidP="006F614D">
      <w:pPr>
        <w:spacing w:line="480" w:lineRule="auto"/>
        <w:contextualSpacing/>
        <w:jc w:val="center"/>
      </w:pPr>
      <w:r>
        <w:rPr>
          <w:b/>
          <w:bCs/>
          <w:sz w:val="24"/>
          <w:szCs w:val="24"/>
        </w:rPr>
        <w:lastRenderedPageBreak/>
        <w:t>Patient Rights: HIPAA, Privacy, Confidentiality, and Nursing Advocacy</w:t>
      </w:r>
    </w:p>
    <w:p w14:paraId="3AF33A52" w14:textId="24E3CA89" w:rsidR="00D6475C" w:rsidRDefault="00980D60" w:rsidP="006F614D">
      <w:pPr>
        <w:spacing w:line="480" w:lineRule="auto"/>
        <w:ind w:firstLine="720"/>
        <w:contextualSpacing/>
      </w:pPr>
      <w:r w:rsidRPr="00980D60">
        <w:rPr>
          <w:sz w:val="24"/>
          <w:szCs w:val="24"/>
        </w:rPr>
        <w:t xml:space="preserve">The Health Insurance Portability and Accountability Act of 1996 (Public Law 104-191) was also enacted, aiming to keep patients' medical information private and secure (Tariq &amp; Hackert, 2023). There are two rules in HIPAA. The Privacy Rule discusses the way in which the protected health information (PHI) can be used and disclosed, whereas the Security Rule sets standards of electronic PHI (ePHI) protection at the national level in terms of administrative, physical, and technical aspects </w:t>
      </w:r>
      <w:r w:rsidR="00801F1C">
        <w:rPr>
          <w:sz w:val="24"/>
          <w:szCs w:val="24"/>
        </w:rPr>
        <w:fldChar w:fldCharType="begin"/>
      </w:r>
      <w:r w:rsidR="00801F1C">
        <w:rPr>
          <w:sz w:val="24"/>
          <w:szCs w:val="24"/>
        </w:rPr>
        <w:instrText xml:space="preserve"> ADDIN ZOTERO_ITEM CSL_CITATION {"citationID":"Aqof4fKW","properties":{"formattedCitation":"(Shojaei et al., 2024)","plainCitation":"(Shojaei et al., 2024)","noteIndex":0},"citationItems":[{"id":19337,"uris":["http://zotero.org/users/local/0lIgp9yg/items/2FAJZCEL"],"itemData":{"id":19337,"type":"article-journal","abstract":"Health information systems (HISs) have immense value for healthcare institutions, as they provide secure storage, efficient retrieval, insightful anal...","container-title":"Computers","DOI":"10.3390/computers13020041","ISSN":"2073-431X","issue":"2","language":"en","license":"http://creativecommons.org/licenses/by/3.0/","publisher":"Multidisciplinary Digital Publishing Institute","source":"www.mdpi.com","title":"Security and Privacy of Technologies in Health Information Systems: A Systematic Literature Review","title-short":"Security and Privacy of Technologies in Health Information Systems","URL":"https://www.mdpi.com/2073-431X/13/2/41","volume":"13","author":[{"family":"Shojaei","given":"Parisasadat"},{"family":"Vlahu-Gjorgievska","given":"Elena"},{"family":"Chow","given":"Yang-Wai"}],"accessed":{"date-parts":[["2026",4,27]]},"issued":{"date-parts":[["2024",1,31]]}}}],"schema":"https://github.com/citation-style-language/schema/raw/master/csl-citation.json"} </w:instrText>
      </w:r>
      <w:r w:rsidR="00801F1C">
        <w:rPr>
          <w:sz w:val="24"/>
          <w:szCs w:val="24"/>
        </w:rPr>
        <w:fldChar w:fldCharType="separate"/>
      </w:r>
      <w:r w:rsidR="00801F1C" w:rsidRPr="00801F1C">
        <w:rPr>
          <w:sz w:val="24"/>
        </w:rPr>
        <w:t>(Shojaei et al., 2024</w:t>
      </w:r>
      <w:r w:rsidR="00801F1C">
        <w:rPr>
          <w:sz w:val="24"/>
        </w:rPr>
        <w:t>, pg 3</w:t>
      </w:r>
      <w:r w:rsidR="00801F1C" w:rsidRPr="00801F1C">
        <w:rPr>
          <w:sz w:val="24"/>
        </w:rPr>
        <w:t>)</w:t>
      </w:r>
      <w:r w:rsidR="00801F1C">
        <w:rPr>
          <w:sz w:val="24"/>
          <w:szCs w:val="24"/>
        </w:rPr>
        <w:fldChar w:fldCharType="end"/>
      </w:r>
      <w:r w:rsidRPr="00980D60">
        <w:rPr>
          <w:sz w:val="24"/>
          <w:szCs w:val="24"/>
        </w:rPr>
        <w:t xml:space="preserve">. PHI is considered any label that connects health information to a particular person, such as names, addresses, dates of birth, and numbers of medical records. The third element is the Breach Notification Rule, which requires covered entities to inform the impacted patients, the Secretary of Health and Human Services (HHS), and, in other instances, the media that a breach has been suffered and the unsecured PHI </w:t>
      </w:r>
      <w:r w:rsidR="00801F1C">
        <w:rPr>
          <w:sz w:val="24"/>
          <w:szCs w:val="24"/>
        </w:rPr>
        <w:fldChar w:fldCharType="begin"/>
      </w:r>
      <w:r w:rsidR="00801F1C">
        <w:rPr>
          <w:sz w:val="24"/>
          <w:szCs w:val="24"/>
        </w:rPr>
        <w:instrText xml:space="preserve"> ADDIN ZOTERO_ITEM CSL_CITATION {"citationID":"DSyda3J5","properties":{"formattedCitation":"(Shojaei et al., 2024)","plainCitation":"(Shojaei et al., 2024)","noteIndex":0},"citationItems":[{"id":19337,"uris":["http://zotero.org/users/local/0lIgp9yg/items/2FAJZCEL"],"itemData":{"id":19337,"type":"article-journal","abstract":"Health information systems (HISs) have immense value for healthcare institutions, as they provide secure storage, efficient retrieval, insightful anal...","container-title":"Computers","DOI":"10.3390/computers13020041","ISSN":"2073-431X","issue":"2","language":"en","license":"http://creativecommons.org/licenses/by/3.0/","publisher":"Multidisciplinary Digital Publishing Institute","source":"www.mdpi.com","title":"Security and Privacy of Technologies in Health Information Systems: A Systematic Literature Review","title-short":"Security and Privacy of Technologies in Health Information Systems","URL":"https://www.mdpi.com/2073-431X/13/2/41","volume":"13","author":[{"family":"Shojaei","given":"Parisasadat"},{"family":"Vlahu-Gjorgievska","given":"Elena"},{"family":"Chow","given":"Yang-Wai"}],"accessed":{"date-parts":[["2026",4,27]]},"issued":{"date-parts":[["2024",1,31]]}}}],"schema":"https://github.com/citation-style-language/schema/raw/master/csl-citation.json"} </w:instrText>
      </w:r>
      <w:r w:rsidR="00801F1C">
        <w:rPr>
          <w:sz w:val="24"/>
          <w:szCs w:val="24"/>
        </w:rPr>
        <w:fldChar w:fldCharType="separate"/>
      </w:r>
      <w:r w:rsidR="00801F1C" w:rsidRPr="00801F1C">
        <w:rPr>
          <w:sz w:val="24"/>
        </w:rPr>
        <w:t>(Shojaei et al., 2024</w:t>
      </w:r>
      <w:r w:rsidR="00801F1C">
        <w:rPr>
          <w:sz w:val="24"/>
          <w:szCs w:val="24"/>
        </w:rPr>
        <w:fldChar w:fldCharType="end"/>
      </w:r>
      <w:r w:rsidRPr="00980D60">
        <w:rPr>
          <w:sz w:val="24"/>
          <w:szCs w:val="24"/>
        </w:rPr>
        <w:t xml:space="preserve"> p. </w:t>
      </w:r>
      <w:r w:rsidR="00801F1C">
        <w:rPr>
          <w:sz w:val="24"/>
          <w:szCs w:val="24"/>
        </w:rPr>
        <w:t>3</w:t>
      </w:r>
      <w:r w:rsidRPr="00980D60">
        <w:rPr>
          <w:sz w:val="24"/>
          <w:szCs w:val="24"/>
        </w:rPr>
        <w:t>). These rules are combined to provide an in-depth system of protocols that ensure patient respect and facilitate the sharing of health information to allow proper treatment, payment, and operations</w:t>
      </w:r>
      <w:r>
        <w:rPr>
          <w:sz w:val="24"/>
          <w:szCs w:val="24"/>
        </w:rPr>
        <w:t>.</w:t>
      </w:r>
    </w:p>
    <w:p w14:paraId="20114212" w14:textId="77777777" w:rsidR="00D6475C" w:rsidRDefault="00000000" w:rsidP="006F614D">
      <w:pPr>
        <w:spacing w:line="480" w:lineRule="auto"/>
        <w:contextualSpacing/>
        <w:jc w:val="center"/>
      </w:pPr>
      <w:r>
        <w:rPr>
          <w:b/>
          <w:bCs/>
          <w:sz w:val="24"/>
          <w:szCs w:val="24"/>
        </w:rPr>
        <w:t>Facility Policies and Directing Patients to Privacy Resources</w:t>
      </w:r>
    </w:p>
    <w:p w14:paraId="61B72F22" w14:textId="58BA2A74" w:rsidR="00D6475C" w:rsidRPr="00071894" w:rsidRDefault="00C363DB" w:rsidP="006F614D">
      <w:pPr>
        <w:spacing w:line="480" w:lineRule="auto"/>
        <w:ind w:firstLine="720"/>
        <w:contextualSpacing/>
        <w:rPr>
          <w:b/>
          <w:bCs/>
          <w:sz w:val="24"/>
          <w:szCs w:val="24"/>
        </w:rPr>
      </w:pPr>
      <w:r>
        <w:rPr>
          <w:sz w:val="24"/>
          <w:szCs w:val="24"/>
        </w:rPr>
        <w:t>T</w:t>
      </w:r>
      <w:r w:rsidR="00AF156D" w:rsidRPr="00AF156D">
        <w:rPr>
          <w:sz w:val="24"/>
          <w:szCs w:val="24"/>
        </w:rPr>
        <w:t xml:space="preserve">exas Health Resources </w:t>
      </w:r>
      <w:r w:rsidR="001278CF" w:rsidRPr="00AF156D">
        <w:rPr>
          <w:sz w:val="24"/>
          <w:szCs w:val="24"/>
        </w:rPr>
        <w:t>implements</w:t>
      </w:r>
      <w:r w:rsidR="00AF156D" w:rsidRPr="00AF156D">
        <w:rPr>
          <w:sz w:val="24"/>
          <w:szCs w:val="24"/>
        </w:rPr>
        <w:t xml:space="preserve"> HIPAA by its Notice of Privacy Practices (NPP), a statement that explains the use of PHI, the rights of the patients, and how to make a complaint. As a nurse, I would refer patients to the printed NPP, which is found at all Texas Health Entities and at the website, texashealth.org (Texas Health Resources, 2025</w:t>
      </w:r>
      <w:r w:rsidR="00071894">
        <w:rPr>
          <w:sz w:val="24"/>
          <w:szCs w:val="24"/>
        </w:rPr>
        <w:t>)</w:t>
      </w:r>
      <w:r w:rsidR="00AF156D" w:rsidRPr="00AF156D">
        <w:rPr>
          <w:sz w:val="24"/>
          <w:szCs w:val="24"/>
        </w:rPr>
        <w:t xml:space="preserve">. To obtain further details, patients can enter the HHS consumer portal at the address </w:t>
      </w:r>
      <w:hyperlink r:id="rId7" w:history="1">
        <w:r w:rsidR="00AF156D" w:rsidRPr="00071894">
          <w:rPr>
            <w:rStyle w:val="Hyperlink"/>
            <w:sz w:val="24"/>
            <w:szCs w:val="24"/>
          </w:rPr>
          <w:t>hhs.gov/</w:t>
        </w:r>
        <w:proofErr w:type="spellStart"/>
        <w:r w:rsidR="00AF156D" w:rsidRPr="00071894">
          <w:rPr>
            <w:rStyle w:val="Hyperlink"/>
            <w:sz w:val="24"/>
            <w:szCs w:val="24"/>
          </w:rPr>
          <w:t>hipaa</w:t>
        </w:r>
        <w:proofErr w:type="spellEnd"/>
        <w:r w:rsidR="00AF156D" w:rsidRPr="00071894">
          <w:rPr>
            <w:rStyle w:val="Hyperlink"/>
            <w:sz w:val="24"/>
            <w:szCs w:val="24"/>
          </w:rPr>
          <w:t>/for-individuals</w:t>
        </w:r>
      </w:hyperlink>
      <w:r w:rsidR="00AF156D" w:rsidRPr="00AF156D">
        <w:rPr>
          <w:sz w:val="24"/>
          <w:szCs w:val="24"/>
        </w:rPr>
        <w:t>, which not only provides the description of the HIPAA rights but also displays the HIPAA rights in plain language</w:t>
      </w:r>
      <w:r w:rsidR="00071894">
        <w:rPr>
          <w:sz w:val="24"/>
          <w:szCs w:val="24"/>
        </w:rPr>
        <w:t xml:space="preserve"> </w:t>
      </w:r>
      <w:r w:rsidR="00071894">
        <w:rPr>
          <w:sz w:val="24"/>
          <w:szCs w:val="24"/>
        </w:rPr>
        <w:fldChar w:fldCharType="begin"/>
      </w:r>
      <w:r w:rsidR="00071894">
        <w:rPr>
          <w:sz w:val="24"/>
          <w:szCs w:val="24"/>
        </w:rPr>
        <w:instrText xml:space="preserve"> ADDIN ZOTERO_ITEM CSL_CITATION {"citationID":"rvKWbWPl","properties":{"formattedCitation":"(HHSGov, 2026)","plainCitation":"(HHSGov, 2026)","noteIndex":0},"citationItems":[{"id":19339,"uris":["http://zotero.org/users/local/0lIgp9yg/items/2VMENWE9"],"itemData":{"id":19339,"type":"webpage","abstract":"Learn about the Rules' protection of individually identifiable health information, the rights granted to individuals, breach notification requirements, OCR’s enforcement activities, and how to file a complaint with OCR.","genre":"Page","language":"en","note":"Last Modified: 2026-03-16","title":"HIPAA for Individuals","URL":"https://www.hhs.gov/hipaa/for-individuals/index.html","author":[{"literal":"HHSGov"}],"accessed":{"date-parts":[["2026",4,27]]},"issued":{"date-parts":[["2026"]]}}}],"schema":"https://github.com/citation-style-language/schema/raw/master/csl-citation.json"} </w:instrText>
      </w:r>
      <w:r w:rsidR="00071894">
        <w:rPr>
          <w:sz w:val="24"/>
          <w:szCs w:val="24"/>
        </w:rPr>
        <w:fldChar w:fldCharType="separate"/>
      </w:r>
      <w:r w:rsidR="00071894" w:rsidRPr="00071894">
        <w:rPr>
          <w:sz w:val="24"/>
        </w:rPr>
        <w:t>(HHSGov, 2026)</w:t>
      </w:r>
      <w:r w:rsidR="00071894">
        <w:rPr>
          <w:sz w:val="24"/>
          <w:szCs w:val="24"/>
        </w:rPr>
        <w:fldChar w:fldCharType="end"/>
      </w:r>
      <w:r w:rsidR="00AF156D" w:rsidRPr="00AF156D">
        <w:rPr>
          <w:sz w:val="24"/>
          <w:szCs w:val="24"/>
        </w:rPr>
        <w:t xml:space="preserve">. Patients who desire to have their medical records can call the Release of Information Department at </w:t>
      </w:r>
      <w:r w:rsidR="00071894" w:rsidRPr="00071894">
        <w:rPr>
          <w:sz w:val="24"/>
          <w:szCs w:val="24"/>
        </w:rPr>
        <w:t>1-</w:t>
      </w:r>
      <w:r w:rsidR="00071894" w:rsidRPr="00071894">
        <w:rPr>
          <w:b/>
          <w:bCs/>
          <w:sz w:val="24"/>
          <w:szCs w:val="24"/>
        </w:rPr>
        <w:t>855-681-8243</w:t>
      </w:r>
      <w:r w:rsidR="00AF156D" w:rsidRPr="00AF156D">
        <w:rPr>
          <w:sz w:val="24"/>
          <w:szCs w:val="24"/>
        </w:rPr>
        <w:t xml:space="preserve">, or they can use the MyChart patient </w:t>
      </w:r>
      <w:r w:rsidR="00AF156D" w:rsidRPr="00AF156D">
        <w:rPr>
          <w:sz w:val="24"/>
          <w:szCs w:val="24"/>
        </w:rPr>
        <w:lastRenderedPageBreak/>
        <w:t>portal. Offering access to many points will guarantee that patients, even those with different health literacy and technology access, can exercise their rights</w:t>
      </w:r>
      <w:r>
        <w:rPr>
          <w:sz w:val="24"/>
          <w:szCs w:val="24"/>
        </w:rPr>
        <w:t>.</w:t>
      </w:r>
    </w:p>
    <w:p w14:paraId="4B981167" w14:textId="77777777" w:rsidR="00D6475C" w:rsidRDefault="00000000" w:rsidP="006F614D">
      <w:pPr>
        <w:spacing w:line="480" w:lineRule="auto"/>
        <w:contextualSpacing/>
        <w:jc w:val="center"/>
      </w:pPr>
      <w:r>
        <w:rPr>
          <w:b/>
          <w:bCs/>
          <w:sz w:val="24"/>
          <w:szCs w:val="24"/>
        </w:rPr>
        <w:t>Nursing Advocacy for Confidentiality</w:t>
      </w:r>
    </w:p>
    <w:p w14:paraId="776A3986" w14:textId="3E421333" w:rsidR="00D6475C" w:rsidRDefault="00C363DB" w:rsidP="006F614D">
      <w:pPr>
        <w:spacing w:line="480" w:lineRule="auto"/>
        <w:ind w:firstLine="720"/>
        <w:contextualSpacing/>
      </w:pPr>
      <w:r w:rsidRPr="00C363DB">
        <w:rPr>
          <w:sz w:val="24"/>
          <w:szCs w:val="24"/>
        </w:rPr>
        <w:t>Nurses are in a leadership position to defend patient privacy. Examples of best practices are holding patient discussions in closed facilities, placing computer monitors out of public view, leaving workstations when not involved, and avoiding the discussion of PHI in open facilities, such as cafeterias or elevators. Nurses are advised to seek verbal consent and record it prior to informing the relatives about the information. Patient advocacy also includes informing patients of their HIPAA rights, such as the right to review their records, seek amendments, and limit certain disclosures</w:t>
      </w:r>
      <w:r w:rsidR="00071894">
        <w:rPr>
          <w:sz w:val="24"/>
          <w:szCs w:val="24"/>
        </w:rPr>
        <w:t xml:space="preserve"> </w:t>
      </w:r>
      <w:r w:rsidR="00071894">
        <w:rPr>
          <w:sz w:val="24"/>
          <w:szCs w:val="24"/>
        </w:rPr>
        <w:fldChar w:fldCharType="begin"/>
      </w:r>
      <w:r w:rsidR="00071894">
        <w:rPr>
          <w:sz w:val="24"/>
          <w:szCs w:val="24"/>
        </w:rPr>
        <w:instrText xml:space="preserve"> ADDIN ZOTERO_ITEM CSL_CITATION {"citationID":"I5RCChiH","properties":{"formattedCitation":"(Lindsey et al., 2025)","plainCitation":"(Lindsey et al., 2025)","noteIndex":0},"citationItems":[{"id":19341,"uris":["http://zotero.org/users/local/0lIgp9yg/items/3P38HNKY"],"itemData":{"id":19341,"type":"article-journal","abstract":"Effective health communication between healthcare providers and patients is a cornerstone of quality healthcare. It underpins trust, comprehension, and patient-informed care. Robust research shows that effective communication, including the use of text messaging for communication can improve maternal/fetal and neonatal outcomes and patient satisfaction, particularly among vulnerable patients. Health information privacy laws that do not evolve with technological advances can inadvertently create barriers to effective health communication, reinforcing perinatal disparities. This is particularly true regarding maternal and child health, where the use of text messaging for patient communication has the potential to make a substantial impact on health disparities. This article explores the complex interplay between health information privacy laws and text messaging, highlighting challenges and examining potential solutions. It stresses the need for consistent health information privacy laws that protect the privacy security of health information for pregnant patients and new mothers, while also aligning with evolving communication technologies.","container-title":"Journal of Perinatology","DOI":"10.1038/s41372-024-02080-5","ISSN":"1476-5543","issue":"2","journalAbbreviation":"J Perinatol","language":"en","license":"2024 The Author(s)","page":"278-281","publisher":"Nature Publishing Group","source":"www.nature.com","title":"When HIPAA hurts: legal barriers to texting may reinforce healthcare disparities and disenfranchise vulnerable patients","title-short":"When HIPAA hurts","volume":"45","author":[{"family":"Lindsey","given":"Denita"},{"family":"Sinkey","given":"Rachel"},{"family":"Travers","given":"Colm"},{"family":"Budhwani","given":"Henna"},{"family":"Richardson","given":"Molly"},{"family":"Quinney","given":"Rosylen"},{"family":"Turan","given":"Janet M."},{"family":"Wallace","given":"Eric"},{"family":"Wingate","given":"Martha S."},{"family":"Tita","given":"Alan"},{"family":"Carlo","given":"Waldemar A."},{"family":"Shukla","given":"Vivek V."}],"issued":{"date-parts":[["2025",2]]}}}],"schema":"https://github.com/citation-style-language/schema/raw/master/csl-citation.json"} </w:instrText>
      </w:r>
      <w:r w:rsidR="00071894">
        <w:rPr>
          <w:sz w:val="24"/>
          <w:szCs w:val="24"/>
        </w:rPr>
        <w:fldChar w:fldCharType="separate"/>
      </w:r>
      <w:r w:rsidR="00071894" w:rsidRPr="00071894">
        <w:rPr>
          <w:sz w:val="24"/>
        </w:rPr>
        <w:t>(Lindsey et al., 2025</w:t>
      </w:r>
      <w:r w:rsidR="00071894">
        <w:rPr>
          <w:sz w:val="24"/>
        </w:rPr>
        <w:t>, p.279</w:t>
      </w:r>
      <w:r w:rsidR="00071894" w:rsidRPr="00071894">
        <w:rPr>
          <w:sz w:val="24"/>
        </w:rPr>
        <w:t>)</w:t>
      </w:r>
      <w:r w:rsidR="00071894">
        <w:rPr>
          <w:sz w:val="24"/>
          <w:szCs w:val="24"/>
        </w:rPr>
        <w:fldChar w:fldCharType="end"/>
      </w:r>
      <w:r w:rsidRPr="00C363DB">
        <w:rPr>
          <w:sz w:val="24"/>
          <w:szCs w:val="24"/>
        </w:rPr>
        <w:t>. Nurses would support a culture of compliance throughout the care team by demonstrating privacy-related behavior and kindly redirecting peers who misuse PHI (Flores and Moy, 2024)</w:t>
      </w:r>
      <w:r>
        <w:rPr>
          <w:sz w:val="24"/>
          <w:szCs w:val="24"/>
        </w:rPr>
        <w:t>.</w:t>
      </w:r>
    </w:p>
    <w:p w14:paraId="412DAE9C" w14:textId="12B78E91" w:rsidR="00D6475C" w:rsidRDefault="00000000" w:rsidP="006F614D">
      <w:pPr>
        <w:spacing w:line="480" w:lineRule="auto"/>
        <w:contextualSpacing/>
        <w:jc w:val="center"/>
      </w:pPr>
      <w:r>
        <w:rPr>
          <w:b/>
          <w:bCs/>
          <w:sz w:val="24"/>
          <w:szCs w:val="24"/>
        </w:rPr>
        <w:t>HIPAA Violations</w:t>
      </w:r>
      <w:r w:rsidR="001278CF">
        <w:rPr>
          <w:b/>
          <w:bCs/>
          <w:sz w:val="24"/>
          <w:szCs w:val="24"/>
        </w:rPr>
        <w:t xml:space="preserve"> Consequences</w:t>
      </w:r>
    </w:p>
    <w:p w14:paraId="59B38A3A" w14:textId="77777777" w:rsidR="00C363DB" w:rsidRPr="00C363DB" w:rsidRDefault="00C363DB" w:rsidP="006F614D">
      <w:pPr>
        <w:spacing w:line="480" w:lineRule="auto"/>
        <w:ind w:firstLine="720"/>
        <w:contextualSpacing/>
        <w:rPr>
          <w:sz w:val="24"/>
          <w:szCs w:val="24"/>
        </w:rPr>
      </w:pPr>
      <w:r w:rsidRPr="00C363DB">
        <w:rPr>
          <w:sz w:val="24"/>
          <w:szCs w:val="24"/>
        </w:rPr>
        <w:t>There are severe repercussions to HIPAA violations both institutionally and personally. For hospitals, civil penalties will range between $100 and 50,000 per violation, which varies depending on the level of culpability, with an annual limit of $1.9 million in its various classes of violation (Moore and Frye, 2020, p. 19). Considered willful violations are subject to criminal prosecution with fines up to 250,000 and a jail term of up to 10 years. The HHS Office for Civil Rights (OCR) makes all violations publicly available, which has a long-term negative reputation. The institutions can also be denied a part in Medicare and Medicaid.</w:t>
      </w:r>
    </w:p>
    <w:p w14:paraId="1CD51D1A" w14:textId="19136569" w:rsidR="00D6475C" w:rsidRDefault="00C363DB" w:rsidP="006F614D">
      <w:pPr>
        <w:spacing w:line="480" w:lineRule="auto"/>
        <w:ind w:firstLine="720"/>
        <w:contextualSpacing/>
      </w:pPr>
      <w:r w:rsidRPr="00C363DB">
        <w:rPr>
          <w:sz w:val="24"/>
          <w:szCs w:val="24"/>
        </w:rPr>
        <w:t xml:space="preserve">To individuals in the nursing profession, breach of HIPAA could lead to dismissal, disciplinary measures by the state board of nursing, and suspension or revocation of license (Moore and Frye, 2020, p. 20). Since nurses are personally liable, employer policies cannot </w:t>
      </w:r>
      <w:r w:rsidRPr="00C363DB">
        <w:rPr>
          <w:sz w:val="24"/>
          <w:szCs w:val="24"/>
        </w:rPr>
        <w:lastRenderedPageBreak/>
        <w:t>protect them against prosecution. For example, a nurse who sent a patient's diagnosis of his sexual infection to the wrong persons was found individually responsible even though he argued that he was doing it personally (Moore and Frye, 2020, p. 21)</w:t>
      </w:r>
      <w:r w:rsidR="00070AA7">
        <w:rPr>
          <w:sz w:val="24"/>
          <w:szCs w:val="24"/>
        </w:rPr>
        <w:t xml:space="preserve">, </w:t>
      </w:r>
      <w:r w:rsidR="00070AA7" w:rsidRPr="00070AA7">
        <w:rPr>
          <w:sz w:val="24"/>
          <w:szCs w:val="24"/>
        </w:rPr>
        <w:t>emphasizing the importance of considering all PHI as highly confidential information that should be shared via authorized means</w:t>
      </w:r>
      <w:r>
        <w:rPr>
          <w:sz w:val="24"/>
          <w:szCs w:val="24"/>
        </w:rPr>
        <w:t>.</w:t>
      </w:r>
    </w:p>
    <w:p w14:paraId="36CA2418" w14:textId="77777777" w:rsidR="00D6475C" w:rsidRDefault="00000000" w:rsidP="006F614D">
      <w:pPr>
        <w:spacing w:line="480" w:lineRule="auto"/>
        <w:contextualSpacing/>
        <w:jc w:val="center"/>
      </w:pPr>
      <w:r>
        <w:rPr>
          <w:b/>
          <w:bCs/>
          <w:sz w:val="24"/>
          <w:szCs w:val="24"/>
        </w:rPr>
        <w:t>Conclusion</w:t>
      </w:r>
    </w:p>
    <w:p w14:paraId="1BF3EFBA" w14:textId="3A224C72" w:rsidR="00801F1C" w:rsidRDefault="00070AA7" w:rsidP="006F614D">
      <w:pPr>
        <w:spacing w:line="480" w:lineRule="auto"/>
        <w:ind w:firstLine="720"/>
        <w:contextualSpacing/>
        <w:rPr>
          <w:b/>
          <w:bCs/>
          <w:sz w:val="24"/>
          <w:szCs w:val="24"/>
        </w:rPr>
      </w:pPr>
      <w:r w:rsidRPr="00070AA7">
        <w:rPr>
          <w:sz w:val="24"/>
          <w:szCs w:val="24"/>
        </w:rPr>
        <w:t>HIPAA provides both ethical and legal frameworks in protecting patient privacy in American health care. In the context of nurses, it is imperative to be familiar with this law, adhere to policies, nurse-advocacy, and understand the outcomes and violations. Maintaining secrecy is respect and not merely law</w:t>
      </w:r>
      <w:r w:rsidR="00376D82">
        <w:rPr>
          <w:sz w:val="24"/>
          <w:szCs w:val="24"/>
        </w:rPr>
        <w:t>.</w:t>
      </w:r>
    </w:p>
    <w:p w14:paraId="12C1BF8C" w14:textId="77777777" w:rsidR="006F614D" w:rsidRDefault="006F614D">
      <w:pPr>
        <w:rPr>
          <w:b/>
          <w:bCs/>
          <w:sz w:val="24"/>
          <w:szCs w:val="24"/>
        </w:rPr>
      </w:pPr>
      <w:r>
        <w:rPr>
          <w:b/>
          <w:bCs/>
          <w:sz w:val="24"/>
          <w:szCs w:val="24"/>
        </w:rPr>
        <w:br w:type="page"/>
      </w:r>
    </w:p>
    <w:p w14:paraId="42B85A25" w14:textId="50DB93CB" w:rsidR="00D6475C" w:rsidRDefault="00000000" w:rsidP="006F614D">
      <w:pPr>
        <w:spacing w:line="480" w:lineRule="auto"/>
        <w:contextualSpacing/>
        <w:jc w:val="center"/>
      </w:pPr>
      <w:r>
        <w:rPr>
          <w:b/>
          <w:bCs/>
          <w:sz w:val="24"/>
          <w:szCs w:val="24"/>
        </w:rPr>
        <w:lastRenderedPageBreak/>
        <w:t>References</w:t>
      </w:r>
    </w:p>
    <w:p w14:paraId="0A4E630E" w14:textId="77777777" w:rsidR="00071894" w:rsidRPr="00071894" w:rsidRDefault="00071894" w:rsidP="006F614D">
      <w:pPr>
        <w:pStyle w:val="Bibliography"/>
        <w:contextualSpacing/>
        <w:rPr>
          <w:sz w:val="24"/>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Pr="00071894">
        <w:rPr>
          <w:sz w:val="24"/>
        </w:rPr>
        <w:t xml:space="preserve">HHSGov. (2026). </w:t>
      </w:r>
      <w:r w:rsidRPr="00071894">
        <w:rPr>
          <w:i/>
          <w:iCs/>
          <w:sz w:val="24"/>
        </w:rPr>
        <w:t>HIPAA for Individuals</w:t>
      </w:r>
      <w:r w:rsidRPr="00071894">
        <w:rPr>
          <w:sz w:val="24"/>
        </w:rPr>
        <w:t xml:space="preserve"> [Page]. https://www.hhs.gov/hipaa/for-individuals/index.html</w:t>
      </w:r>
    </w:p>
    <w:p w14:paraId="7C3AC20F" w14:textId="77777777" w:rsidR="00071894" w:rsidRPr="00071894" w:rsidRDefault="00071894" w:rsidP="006F614D">
      <w:pPr>
        <w:pStyle w:val="Bibliography"/>
        <w:contextualSpacing/>
        <w:rPr>
          <w:sz w:val="24"/>
        </w:rPr>
      </w:pPr>
      <w:r w:rsidRPr="00071894">
        <w:rPr>
          <w:sz w:val="24"/>
        </w:rPr>
        <w:t xml:space="preserve">Lindsey, D., Sinkey, R., Travers, C., Budhwani, H., Richardson, M., Quinney, R., Turan, J. M., Wallace, E., Wingate, M. S., Tita, A., Carlo, W. A., &amp; Shukla, V. V. (2025). When HIPAA hurts: Legal barriers to texting may reinforce healthcare disparities and disenfranchise vulnerable patients. </w:t>
      </w:r>
      <w:r w:rsidRPr="00071894">
        <w:rPr>
          <w:i/>
          <w:iCs/>
          <w:sz w:val="24"/>
        </w:rPr>
        <w:t>Journal of Perinatology</w:t>
      </w:r>
      <w:r w:rsidRPr="00071894">
        <w:rPr>
          <w:sz w:val="24"/>
        </w:rPr>
        <w:t xml:space="preserve">, </w:t>
      </w:r>
      <w:r w:rsidRPr="00071894">
        <w:rPr>
          <w:i/>
          <w:iCs/>
          <w:sz w:val="24"/>
        </w:rPr>
        <w:t>45</w:t>
      </w:r>
      <w:r w:rsidRPr="00071894">
        <w:rPr>
          <w:sz w:val="24"/>
        </w:rPr>
        <w:t>(2), 278–281. https://doi.org/10.1038/s41372-024-02080-5</w:t>
      </w:r>
    </w:p>
    <w:p w14:paraId="7533BF91" w14:textId="77777777" w:rsidR="00071894" w:rsidRPr="00071894" w:rsidRDefault="00071894" w:rsidP="006F614D">
      <w:pPr>
        <w:pStyle w:val="Bibliography"/>
        <w:contextualSpacing/>
        <w:rPr>
          <w:sz w:val="24"/>
        </w:rPr>
      </w:pPr>
      <w:r w:rsidRPr="00071894">
        <w:rPr>
          <w:sz w:val="24"/>
        </w:rPr>
        <w:t xml:space="preserve">Shojaei, P., Vlahu-Gjorgievska, E., &amp; Chow, Y.-W. (2024). Security and Privacy of Technologies in Health Information Systems: A Systematic Literature Review. </w:t>
      </w:r>
      <w:r w:rsidRPr="00071894">
        <w:rPr>
          <w:i/>
          <w:iCs/>
          <w:sz w:val="24"/>
        </w:rPr>
        <w:t>Computers</w:t>
      </w:r>
      <w:r w:rsidRPr="00071894">
        <w:rPr>
          <w:sz w:val="24"/>
        </w:rPr>
        <w:t xml:space="preserve">, </w:t>
      </w:r>
      <w:r w:rsidRPr="00071894">
        <w:rPr>
          <w:i/>
          <w:iCs/>
          <w:sz w:val="24"/>
        </w:rPr>
        <w:t>13</w:t>
      </w:r>
      <w:r w:rsidRPr="00071894">
        <w:rPr>
          <w:sz w:val="24"/>
        </w:rPr>
        <w:t>(2). https://doi.org/10.3390/computers13020041</w:t>
      </w:r>
    </w:p>
    <w:p w14:paraId="505C46A9" w14:textId="42FBC788" w:rsidR="00D6475C" w:rsidRDefault="00071894" w:rsidP="006F614D">
      <w:pPr>
        <w:spacing w:line="480" w:lineRule="auto"/>
        <w:ind w:left="720" w:hanging="720"/>
        <w:contextualSpacing/>
      </w:pPr>
      <w:r>
        <w:rPr>
          <w:sz w:val="24"/>
          <w:szCs w:val="24"/>
        </w:rPr>
        <w:fldChar w:fldCharType="end"/>
      </w:r>
      <w:r>
        <w:rPr>
          <w:sz w:val="24"/>
          <w:szCs w:val="24"/>
        </w:rPr>
        <w:t>Moore, W., &amp; Frye, S. (2020). Review of HIPAA, Part 2: Limitations, rights, violations, and role for the imaging technologist. Journal of Nuclear Medicine Technology, 48(1), 17–23. https://doi.org/10.2967/jnmt.119.227827</w:t>
      </w:r>
    </w:p>
    <w:p w14:paraId="17FC195B" w14:textId="77777777" w:rsidR="00D6475C" w:rsidRDefault="00000000" w:rsidP="006F614D">
      <w:pPr>
        <w:spacing w:line="480" w:lineRule="auto"/>
        <w:ind w:left="720" w:hanging="720"/>
        <w:contextualSpacing/>
      </w:pPr>
      <w:r>
        <w:rPr>
          <w:sz w:val="24"/>
          <w:szCs w:val="24"/>
        </w:rPr>
        <w:t>Texas Health Resources. (2025). Notice of privacy practices. https://www.texashealth.org</w:t>
      </w:r>
    </w:p>
    <w:sectPr w:rsidR="00D6475C">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BA51" w14:textId="77777777" w:rsidR="005355B3" w:rsidRDefault="005355B3" w:rsidP="0042394D">
      <w:r>
        <w:separator/>
      </w:r>
    </w:p>
  </w:endnote>
  <w:endnote w:type="continuationSeparator" w:id="0">
    <w:p w14:paraId="10E0167C" w14:textId="77777777" w:rsidR="005355B3" w:rsidRDefault="005355B3" w:rsidP="0042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244E" w14:textId="77777777" w:rsidR="005355B3" w:rsidRDefault="005355B3" w:rsidP="0042394D">
      <w:r>
        <w:separator/>
      </w:r>
    </w:p>
  </w:footnote>
  <w:footnote w:type="continuationSeparator" w:id="0">
    <w:p w14:paraId="034931F9" w14:textId="77777777" w:rsidR="005355B3" w:rsidRDefault="005355B3" w:rsidP="0042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04077"/>
      <w:docPartObj>
        <w:docPartGallery w:val="Page Numbers (Top of Page)"/>
        <w:docPartUnique/>
      </w:docPartObj>
    </w:sdtPr>
    <w:sdtEndPr>
      <w:rPr>
        <w:noProof/>
      </w:rPr>
    </w:sdtEndPr>
    <w:sdtContent>
      <w:p w14:paraId="28F769EE" w14:textId="38114E5D" w:rsidR="0042394D" w:rsidRDefault="004239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832DA0" w14:textId="77777777" w:rsidR="0042394D" w:rsidRDefault="0042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5F3"/>
    <w:multiLevelType w:val="hybridMultilevel"/>
    <w:tmpl w:val="38326418"/>
    <w:lvl w:ilvl="0" w:tplc="82A0C5C4">
      <w:start w:val="1"/>
      <w:numFmt w:val="bullet"/>
      <w:lvlText w:val="●"/>
      <w:lvlJc w:val="left"/>
      <w:pPr>
        <w:ind w:left="720" w:hanging="360"/>
      </w:pPr>
    </w:lvl>
    <w:lvl w:ilvl="1" w:tplc="804A2B12">
      <w:start w:val="1"/>
      <w:numFmt w:val="bullet"/>
      <w:lvlText w:val="○"/>
      <w:lvlJc w:val="left"/>
      <w:pPr>
        <w:ind w:left="1440" w:hanging="360"/>
      </w:pPr>
    </w:lvl>
    <w:lvl w:ilvl="2" w:tplc="BFD0162E">
      <w:start w:val="1"/>
      <w:numFmt w:val="bullet"/>
      <w:lvlText w:val="■"/>
      <w:lvlJc w:val="left"/>
      <w:pPr>
        <w:ind w:left="2160" w:hanging="360"/>
      </w:pPr>
    </w:lvl>
    <w:lvl w:ilvl="3" w:tplc="5BC4D9BC">
      <w:start w:val="1"/>
      <w:numFmt w:val="bullet"/>
      <w:lvlText w:val="●"/>
      <w:lvlJc w:val="left"/>
      <w:pPr>
        <w:ind w:left="2880" w:hanging="360"/>
      </w:pPr>
    </w:lvl>
    <w:lvl w:ilvl="4" w:tplc="A1560B28">
      <w:start w:val="1"/>
      <w:numFmt w:val="bullet"/>
      <w:lvlText w:val="○"/>
      <w:lvlJc w:val="left"/>
      <w:pPr>
        <w:ind w:left="3600" w:hanging="360"/>
      </w:pPr>
    </w:lvl>
    <w:lvl w:ilvl="5" w:tplc="7F7E7A1C">
      <w:start w:val="1"/>
      <w:numFmt w:val="bullet"/>
      <w:lvlText w:val="■"/>
      <w:lvlJc w:val="left"/>
      <w:pPr>
        <w:ind w:left="4320" w:hanging="360"/>
      </w:pPr>
    </w:lvl>
    <w:lvl w:ilvl="6" w:tplc="25BC0C1E">
      <w:start w:val="1"/>
      <w:numFmt w:val="bullet"/>
      <w:lvlText w:val="●"/>
      <w:lvlJc w:val="left"/>
      <w:pPr>
        <w:ind w:left="5040" w:hanging="360"/>
      </w:pPr>
    </w:lvl>
    <w:lvl w:ilvl="7" w:tplc="4296BF68">
      <w:start w:val="1"/>
      <w:numFmt w:val="bullet"/>
      <w:lvlText w:val="●"/>
      <w:lvlJc w:val="left"/>
      <w:pPr>
        <w:ind w:left="5760" w:hanging="360"/>
      </w:pPr>
    </w:lvl>
    <w:lvl w:ilvl="8" w:tplc="988A8A48">
      <w:start w:val="1"/>
      <w:numFmt w:val="bullet"/>
      <w:lvlText w:val="●"/>
      <w:lvlJc w:val="left"/>
      <w:pPr>
        <w:ind w:left="6480" w:hanging="360"/>
      </w:pPr>
    </w:lvl>
  </w:abstractNum>
  <w:num w:numId="1" w16cid:durableId="446585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5C"/>
    <w:rsid w:val="00070AA7"/>
    <w:rsid w:val="00071894"/>
    <w:rsid w:val="0009706F"/>
    <w:rsid w:val="001278CF"/>
    <w:rsid w:val="002517C3"/>
    <w:rsid w:val="00376D82"/>
    <w:rsid w:val="0042394D"/>
    <w:rsid w:val="005355B3"/>
    <w:rsid w:val="006E5172"/>
    <w:rsid w:val="006F614D"/>
    <w:rsid w:val="00801F1C"/>
    <w:rsid w:val="00980D60"/>
    <w:rsid w:val="00A03CB0"/>
    <w:rsid w:val="00A11133"/>
    <w:rsid w:val="00AF156D"/>
    <w:rsid w:val="00C363DB"/>
    <w:rsid w:val="00D6475C"/>
    <w:rsid w:val="00DF6A0A"/>
    <w:rsid w:val="00F3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DFA"/>
  <w15:docId w15:val="{B0CD912F-4CE4-4E4A-AC05-F525038E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71894"/>
    <w:rPr>
      <w:color w:val="605E5C"/>
      <w:shd w:val="clear" w:color="auto" w:fill="E1DFDD"/>
    </w:rPr>
  </w:style>
  <w:style w:type="paragraph" w:styleId="Bibliography">
    <w:name w:val="Bibliography"/>
    <w:basedOn w:val="Normal"/>
    <w:next w:val="Normal"/>
    <w:uiPriority w:val="37"/>
    <w:unhideWhenUsed/>
    <w:rsid w:val="00071894"/>
    <w:pPr>
      <w:spacing w:line="480" w:lineRule="auto"/>
      <w:ind w:left="720" w:hanging="720"/>
    </w:pPr>
  </w:style>
  <w:style w:type="paragraph" w:styleId="Header">
    <w:name w:val="header"/>
    <w:basedOn w:val="Normal"/>
    <w:link w:val="HeaderChar"/>
    <w:uiPriority w:val="99"/>
    <w:unhideWhenUsed/>
    <w:rsid w:val="0042394D"/>
    <w:pPr>
      <w:tabs>
        <w:tab w:val="center" w:pos="4680"/>
        <w:tab w:val="right" w:pos="9360"/>
      </w:tabs>
    </w:pPr>
  </w:style>
  <w:style w:type="character" w:customStyle="1" w:styleId="HeaderChar">
    <w:name w:val="Header Char"/>
    <w:basedOn w:val="DefaultParagraphFont"/>
    <w:link w:val="Header"/>
    <w:uiPriority w:val="99"/>
    <w:rsid w:val="0042394D"/>
  </w:style>
  <w:style w:type="paragraph" w:styleId="Footer">
    <w:name w:val="footer"/>
    <w:basedOn w:val="Normal"/>
    <w:link w:val="FooterChar"/>
    <w:uiPriority w:val="99"/>
    <w:unhideWhenUsed/>
    <w:rsid w:val="0042394D"/>
    <w:pPr>
      <w:tabs>
        <w:tab w:val="center" w:pos="4680"/>
        <w:tab w:val="right" w:pos="9360"/>
      </w:tabs>
    </w:pPr>
  </w:style>
  <w:style w:type="character" w:customStyle="1" w:styleId="FooterChar">
    <w:name w:val="Footer Char"/>
    <w:basedOn w:val="DefaultParagraphFont"/>
    <w:link w:val="Footer"/>
    <w:uiPriority w:val="99"/>
    <w:rsid w:val="0042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hs.gov/hipaa/for-individual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1796</Words>
  <Characters>10242</Characters>
  <Application>Microsoft Office Word</Application>
  <DocSecurity>0</DocSecurity>
  <Lines>85</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abc</cp:lastModifiedBy>
  <cp:revision>2</cp:revision>
  <dcterms:created xsi:type="dcterms:W3CDTF">2026-04-30T13:02:00Z</dcterms:created>
  <dcterms:modified xsi:type="dcterms:W3CDTF">2026-04-30T13:02:00Z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id="Lurp2v1G"/&gt;&lt;style id="http://www.zotero.org/styles/apa" locale="en-US" hasBibliography="1" bibliographyStyleHasBeenSet="1"/&gt;&lt;prefs&gt;&lt;pref name="fieldType" value="Field"/&gt;&lt;/prefs&gt;&lt;/data&gt;</vt:lpwstr>
  </property>
  <property fmtid="{D5CDD505-2E9C-101B-9397-08002B2CF9AE}" pid="3" name="GrammarlyDocumentId">
    <vt:lpwstr>4a7ba3ce-18ef-4c7e-934a-3c39623366f4</vt:lpwstr>
  </property>
</Properties>
</file>