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2"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3"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4"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5"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6"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7"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8"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9" w14:textId="77777777" w:rsidR="00426354" w:rsidRDefault="007A15A9">
      <w:pPr>
        <w:spacing w:line="48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Faith on the Scene</w:t>
      </w:r>
    </w:p>
    <w:p w14:paraId="0000000A" w14:textId="77777777" w:rsidR="00426354" w:rsidRDefault="00426354">
      <w:pPr>
        <w:spacing w:line="480" w:lineRule="auto"/>
        <w:ind w:firstLine="720"/>
        <w:jc w:val="center"/>
        <w:rPr>
          <w:rFonts w:ascii="Times New Roman" w:eastAsia="Times New Roman" w:hAnsi="Times New Roman" w:cs="Times New Roman"/>
          <w:sz w:val="24"/>
          <w:szCs w:val="24"/>
        </w:rPr>
      </w:pPr>
    </w:p>
    <w:p w14:paraId="0000000B" w14:textId="77777777" w:rsidR="00426354" w:rsidRDefault="007A15A9">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Author </w:t>
      </w:r>
    </w:p>
    <w:p w14:paraId="0000000C" w14:textId="77777777" w:rsidR="00426354" w:rsidRDefault="007A15A9">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Instructor Name </w:t>
      </w:r>
    </w:p>
    <w:p w14:paraId="0000000D" w14:textId="77777777" w:rsidR="00426354" w:rsidRDefault="007A15A9">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Institutional Affiliation </w:t>
      </w:r>
    </w:p>
    <w:p w14:paraId="0000000E" w14:textId="77777777" w:rsidR="00426354" w:rsidRDefault="007A15A9">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Course code and Number</w:t>
      </w:r>
    </w:p>
    <w:p w14:paraId="0000000F" w14:textId="77777777" w:rsidR="00426354" w:rsidRDefault="007A15A9">
      <w:pPr>
        <w:spacing w:line="48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Date of Submission</w:t>
      </w:r>
      <w:r>
        <w:br w:type="page"/>
      </w:r>
    </w:p>
    <w:p w14:paraId="00000010" w14:textId="77777777" w:rsidR="00426354" w:rsidRDefault="007A15A9">
      <w:pPr>
        <w:spacing w:line="48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Faith on the Scene</w:t>
      </w:r>
    </w:p>
    <w:p w14:paraId="00000012" w14:textId="77777777" w:rsidR="00426354" w:rsidRDefault="007A15A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 1: Case Reflection</w:t>
      </w:r>
    </w:p>
    <w:p w14:paraId="3A61815B" w14:textId="0712D3D5" w:rsidR="001018F2" w:rsidRPr="001018F2" w:rsidRDefault="001018F2" w:rsidP="001018F2">
      <w:pPr>
        <w:spacing w:line="480" w:lineRule="auto"/>
        <w:ind w:firstLine="720"/>
        <w:rPr>
          <w:rFonts w:ascii="Times New Roman" w:eastAsia="Times New Roman" w:hAnsi="Times New Roman" w:cs="Times New Roman"/>
          <w:sz w:val="24"/>
          <w:szCs w:val="24"/>
        </w:rPr>
      </w:pPr>
      <w:r w:rsidRPr="001018F2">
        <w:rPr>
          <w:rFonts w:ascii="Times New Roman" w:eastAsia="Times New Roman" w:hAnsi="Times New Roman" w:cs="Times New Roman"/>
          <w:sz w:val="24"/>
          <w:szCs w:val="24"/>
        </w:rPr>
        <w:t>Lia</w:t>
      </w:r>
      <w:r w:rsidR="002609F5">
        <w:rPr>
          <w:rFonts w:ascii="Times New Roman" w:eastAsia="Times New Roman" w:hAnsi="Times New Roman" w:cs="Times New Roman"/>
          <w:sz w:val="24"/>
          <w:szCs w:val="24"/>
        </w:rPr>
        <w:t>’s parents</w:t>
      </w:r>
      <w:r w:rsidRPr="001018F2">
        <w:rPr>
          <w:rFonts w:ascii="Times New Roman" w:eastAsia="Times New Roman" w:hAnsi="Times New Roman" w:cs="Times New Roman"/>
          <w:sz w:val="24"/>
          <w:szCs w:val="24"/>
        </w:rPr>
        <w:t xml:space="preserve"> had resorted to more traditional forms of healing through spiritual rites and animal sacrifices, which, according to them, would heal her soul and make her better. Meanwhile, her doctors emphasized </w:t>
      </w:r>
      <w:r w:rsidR="002609F5">
        <w:rPr>
          <w:rFonts w:ascii="Times New Roman" w:eastAsia="Times New Roman" w:hAnsi="Times New Roman" w:cs="Times New Roman"/>
          <w:sz w:val="24"/>
          <w:szCs w:val="24"/>
        </w:rPr>
        <w:t>the need to take drugs</w:t>
      </w:r>
      <w:r w:rsidRPr="001018F2">
        <w:rPr>
          <w:rFonts w:ascii="Times New Roman" w:eastAsia="Times New Roman" w:hAnsi="Times New Roman" w:cs="Times New Roman"/>
          <w:sz w:val="24"/>
          <w:szCs w:val="24"/>
        </w:rPr>
        <w:t xml:space="preserve"> and monitor them regularly (Anne Fadiman, 2025). However, the language barrier, lack of culturally competent communication, and low health literacy w</w:t>
      </w:r>
      <w:r w:rsidR="002609F5">
        <w:rPr>
          <w:rFonts w:ascii="Times New Roman" w:eastAsia="Times New Roman" w:hAnsi="Times New Roman" w:cs="Times New Roman"/>
          <w:sz w:val="24"/>
          <w:szCs w:val="24"/>
        </w:rPr>
        <w:t xml:space="preserve">ere obstacles to the </w:t>
      </w:r>
      <w:r w:rsidRPr="001018F2">
        <w:rPr>
          <w:rFonts w:ascii="Times New Roman" w:eastAsia="Times New Roman" w:hAnsi="Times New Roman" w:cs="Times New Roman"/>
          <w:sz w:val="24"/>
          <w:szCs w:val="24"/>
        </w:rPr>
        <w:t xml:space="preserve">Lia </w:t>
      </w:r>
      <w:r w:rsidR="002609F5">
        <w:rPr>
          <w:rFonts w:ascii="Times New Roman" w:eastAsia="Times New Roman" w:hAnsi="Times New Roman" w:cs="Times New Roman"/>
          <w:sz w:val="24"/>
          <w:szCs w:val="24"/>
        </w:rPr>
        <w:t>parents</w:t>
      </w:r>
      <w:r w:rsidR="002609F5">
        <w:rPr>
          <w:rFonts w:ascii="Times New Roman" w:eastAsia="Times New Roman" w:hAnsi="Times New Roman" w:cs="Times New Roman"/>
          <w:sz w:val="24"/>
          <w:szCs w:val="24"/>
        </w:rPr>
        <w:t xml:space="preserve"> </w:t>
      </w:r>
      <w:r w:rsidRPr="001018F2">
        <w:rPr>
          <w:rFonts w:ascii="Times New Roman" w:eastAsia="Times New Roman" w:hAnsi="Times New Roman" w:cs="Times New Roman"/>
          <w:sz w:val="24"/>
          <w:szCs w:val="24"/>
        </w:rPr>
        <w:t xml:space="preserve">because they did not clearly understand the severity of the epilepsy level and compliance with the given treatment. This, therefore, resulted in a scenario whereby what the health providers termed as non-conformity was actually serving as a case of cultural misconception and a differing explanatory framework of illness. The clash of these perceptions led to a sense of confusion, frustration, and distrust, which ultimately proved ambiguous. It was further worsened by the issues inherent in the U.S healthcare system that prioritizes efficiency, standardization, and evidence-based practice, thus offering few chances to compromise with the culture. </w:t>
      </w:r>
    </w:p>
    <w:p w14:paraId="49AC64B0" w14:textId="77777777" w:rsidR="001018F2" w:rsidRPr="001018F2" w:rsidRDefault="001018F2" w:rsidP="001018F2">
      <w:pPr>
        <w:spacing w:line="480" w:lineRule="auto"/>
        <w:ind w:firstLine="720"/>
        <w:rPr>
          <w:rFonts w:ascii="Times New Roman" w:eastAsia="Times New Roman" w:hAnsi="Times New Roman" w:cs="Times New Roman"/>
          <w:sz w:val="24"/>
          <w:szCs w:val="24"/>
        </w:rPr>
      </w:pPr>
      <w:r w:rsidRPr="001018F2">
        <w:rPr>
          <w:rFonts w:ascii="Times New Roman" w:eastAsia="Times New Roman" w:hAnsi="Times New Roman" w:cs="Times New Roman"/>
          <w:sz w:val="24"/>
          <w:szCs w:val="24"/>
        </w:rPr>
        <w:t>On the other hand, Hmong culture presents a strong focus on family interdependence, spirituality, and reliance on traditional healers, and is not capable of being aligned with Western ideals of personal responsibility and conformity to the medical prescriptions (Zhang, 2023). The case brings to light important concepts in healthcare cross-cultural. The concept of explanatory models of illness, as conceived by Geri-Ann Galanti (2015), is one of the most important. The concept suggests that the patients and families interpret illness in accordance with their cultural beliefs that may differ significantly from the biomedical interpretation of illness. With Lia, spiritual education concerning epilepsy of her parents was completely the opposite of the scientific education of her doctors, which created a clash that nobody managed to overcome. The communication barrier also had its role in this rift, as communication on medication prescriptions and treatment goals would rush because it did not necessarily have interpreting services available or sufficiently trained to communicate.</w:t>
      </w:r>
    </w:p>
    <w:p w14:paraId="759F8B9A" w14:textId="7A1257FA" w:rsidR="001018F2" w:rsidRPr="001018F2" w:rsidRDefault="002609F5" w:rsidP="001018F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culture was also of a</w:t>
      </w:r>
      <w:r w:rsidR="001018F2" w:rsidRPr="001018F2">
        <w:rPr>
          <w:rFonts w:ascii="Times New Roman" w:eastAsia="Times New Roman" w:hAnsi="Times New Roman" w:cs="Times New Roman"/>
          <w:sz w:val="24"/>
          <w:szCs w:val="24"/>
        </w:rPr>
        <w:t xml:space="preserve"> fundamental nature. Hmong concerns about group decision-making and adherence to traditions were at odds with Western endeavors at individualism and obeying medical advice (Zhang, 2023). Besides, the phenomenon of ethnocentrism, which can be described as the propensity to judge one's own cultural viewpoint as the superior one in relation to others (Yousaf et al., 2022), can also be seen here; some of the healthcare professionals were quite evident in terms of overlooking the opinions of the family members, and instead of trying to understand them. This was not only harmful to the therapeutic relationship but also resulted in poorer health outcomes in Lia. Critically speaking, the situation with Lia Lee demonstrates the importance of cultural competence and the failure of such an approach as competence only. The process of comprehending cultural competence might mean you are able to learn more about different cultures, and this may result in stereotyping and generalizing. Instead, the concept of cultural humility is more appropriate since it follows an emphasis on continuous self-reflection, transparency, and being willing to learn alongside patients. </w:t>
      </w:r>
    </w:p>
    <w:p w14:paraId="1871427B" w14:textId="77777777" w:rsidR="001018F2" w:rsidRDefault="001018F2" w:rsidP="001018F2">
      <w:pPr>
        <w:spacing w:line="480" w:lineRule="auto"/>
        <w:ind w:firstLine="720"/>
        <w:rPr>
          <w:rFonts w:ascii="Times New Roman" w:eastAsia="Times New Roman" w:hAnsi="Times New Roman" w:cs="Times New Roman"/>
          <w:sz w:val="24"/>
          <w:szCs w:val="24"/>
        </w:rPr>
      </w:pPr>
      <w:r w:rsidRPr="001018F2">
        <w:rPr>
          <w:rFonts w:ascii="Times New Roman" w:eastAsia="Times New Roman" w:hAnsi="Times New Roman" w:cs="Times New Roman"/>
          <w:sz w:val="24"/>
          <w:szCs w:val="24"/>
        </w:rPr>
        <w:t>Besides, the case will demonstrate structural inequalities of health care systems that obstruct culturally responsive care, such as a lack of interpreter services, time, and institutional prejudices. It is important to note that ethical concerns of patient autonomy, parental control, and the role of the state in the medical decision-making process are also raised in the case. Child protective services intervention, as an intervention in the case of Lia, is the manner in which cultural misunderstandings can result in legal conflicts, and which tends to disproportionately apply to the minority population. Therefore, to improve healthcare related to cross-cultural issues, both individual change, including improvements in themes of communication and empathy, and the change of the system to be inclusive, flexible, and patient-oriented must occur.</w:t>
      </w:r>
    </w:p>
    <w:p w14:paraId="4F949E33" w14:textId="2845CA5E" w:rsidR="00353E6C" w:rsidRPr="00353E6C" w:rsidRDefault="00247EF5" w:rsidP="001018F2">
      <w:pPr>
        <w:spacing w:line="480" w:lineRule="auto"/>
        <w:ind w:firstLine="720"/>
        <w:jc w:val="center"/>
        <w:rPr>
          <w:rFonts w:ascii="Times New Roman" w:eastAsia="Times New Roman" w:hAnsi="Times New Roman" w:cs="Times New Roman"/>
          <w:b/>
          <w:bCs/>
          <w:sz w:val="24"/>
          <w:szCs w:val="24"/>
        </w:rPr>
      </w:pPr>
      <w:r w:rsidRPr="00353E6C">
        <w:rPr>
          <w:rFonts w:ascii="Times New Roman" w:eastAsia="Times New Roman" w:hAnsi="Times New Roman" w:cs="Times New Roman"/>
          <w:b/>
          <w:bCs/>
          <w:sz w:val="24"/>
          <w:szCs w:val="24"/>
        </w:rPr>
        <w:t>Part 2: Action Plan</w:t>
      </w:r>
    </w:p>
    <w:p w14:paraId="277560BF" w14:textId="77777777" w:rsidR="000A724C" w:rsidRPr="000A724C" w:rsidRDefault="000A724C" w:rsidP="002609F5">
      <w:pPr>
        <w:spacing w:line="480" w:lineRule="auto"/>
        <w:ind w:firstLine="720"/>
        <w:rPr>
          <w:rFonts w:ascii="Times New Roman" w:eastAsia="Times New Roman" w:hAnsi="Times New Roman" w:cs="Times New Roman"/>
          <w:sz w:val="24"/>
          <w:szCs w:val="24"/>
        </w:rPr>
      </w:pPr>
      <w:r w:rsidRPr="000A724C">
        <w:rPr>
          <w:rFonts w:ascii="Times New Roman" w:eastAsia="Times New Roman" w:hAnsi="Times New Roman" w:cs="Times New Roman"/>
          <w:sz w:val="24"/>
          <w:szCs w:val="24"/>
        </w:rPr>
        <w:t>An action plan is a stepping stone toward culturally competent practice, based on the works of Galanti, which places cultural beliefs and practices of patients at the focal point of illness and illness management. Medical professionals need to show a real desire to learn about patients' traditional concepts about their disease, their causative factors, the best way to treat them, and their views on the use of traditional medicine. Galanti (2015) states that patients might be following other health belief systems that do not necessarily follow the biomedical model, and that to provide effective care, there should be awareness of this issue and a mindful awareness of this fact. Accepting and respecting such views would help providers to create treatment strategies that will not respect the cultural values of the patients, but instead, they strive to offer them a new home.</w:t>
      </w:r>
    </w:p>
    <w:p w14:paraId="7EEBE2BF" w14:textId="0E14565B" w:rsidR="00EC6561" w:rsidRPr="00EC6561" w:rsidRDefault="00EC6561" w:rsidP="000A724C">
      <w:pPr>
        <w:spacing w:line="480" w:lineRule="auto"/>
        <w:rPr>
          <w:rFonts w:ascii="Times New Roman" w:eastAsia="Times New Roman" w:hAnsi="Times New Roman" w:cs="Times New Roman"/>
          <w:b/>
          <w:bCs/>
          <w:sz w:val="24"/>
          <w:szCs w:val="24"/>
        </w:rPr>
      </w:pPr>
      <w:r w:rsidRPr="00EC6561">
        <w:rPr>
          <w:rFonts w:ascii="Times New Roman" w:eastAsia="Times New Roman" w:hAnsi="Times New Roman" w:cs="Times New Roman"/>
          <w:b/>
          <w:bCs/>
          <w:sz w:val="24"/>
          <w:szCs w:val="24"/>
        </w:rPr>
        <w:t xml:space="preserve">Strategy 1 </w:t>
      </w:r>
    </w:p>
    <w:p w14:paraId="5D0D570D" w14:textId="46497AF1" w:rsidR="000A724C" w:rsidRPr="000A724C" w:rsidRDefault="000A724C" w:rsidP="00EC6561">
      <w:pPr>
        <w:spacing w:line="480" w:lineRule="auto"/>
        <w:ind w:firstLine="720"/>
        <w:rPr>
          <w:rFonts w:ascii="Times New Roman" w:eastAsia="Times New Roman" w:hAnsi="Times New Roman" w:cs="Times New Roman"/>
          <w:sz w:val="24"/>
          <w:szCs w:val="24"/>
        </w:rPr>
      </w:pPr>
      <w:r w:rsidRPr="000A724C">
        <w:rPr>
          <w:rFonts w:ascii="Times New Roman" w:eastAsia="Times New Roman" w:hAnsi="Times New Roman" w:cs="Times New Roman"/>
          <w:sz w:val="24"/>
          <w:szCs w:val="24"/>
        </w:rPr>
        <w:t xml:space="preserve">The Explanatory Model of Kleinman is one of the most well-known models in this respect, as it contains culturally oriented questions, including: What do you think caused your illness? (HHS, n.d.). These questions can help the providers detect culturally held beliefs that can play a big role in medical decision-making. In Lia Lee, such an approach could have been implemented earlier by the practitioner, helping to gain a better insight into how her family spiritually explains epilepsy, which would lead to avenues of meaningful conversation. Instead of rejecting biomedical practices combined with beliefs that have cultural significance, providers might have partnered to incorporate them into their practices. It aligns with studies that have shown that culturally individualized care enhances patient satisfaction and </w:t>
      </w:r>
      <w:r w:rsidR="002609F5">
        <w:rPr>
          <w:rFonts w:ascii="Times New Roman" w:eastAsia="Times New Roman" w:hAnsi="Times New Roman" w:cs="Times New Roman"/>
          <w:sz w:val="24"/>
          <w:szCs w:val="24"/>
        </w:rPr>
        <w:t>treatment adherence</w:t>
      </w:r>
      <w:r w:rsidRPr="000A724C">
        <w:rPr>
          <w:rFonts w:ascii="Times New Roman" w:eastAsia="Times New Roman" w:hAnsi="Times New Roman" w:cs="Times New Roman"/>
          <w:sz w:val="24"/>
          <w:szCs w:val="24"/>
        </w:rPr>
        <w:t xml:space="preserve"> (Vandecasteele et al., 2024). In addition, coordinated cultural testing enhances uniformity within providers and minimizes assumptions and stereotypical generalizations (Vandecasteele et al., 2024). This approach can be institutionalized through the healthcare systems, which implement cultural understanding as a normative part of the clinical practice, and not as an additional competency.</w:t>
      </w:r>
    </w:p>
    <w:p w14:paraId="63D17B7E" w14:textId="77777777" w:rsidR="000A724C" w:rsidRPr="00EC6561" w:rsidRDefault="000A724C" w:rsidP="000A724C">
      <w:pPr>
        <w:spacing w:line="480" w:lineRule="auto"/>
        <w:rPr>
          <w:rFonts w:ascii="Times New Roman" w:eastAsia="Times New Roman" w:hAnsi="Times New Roman" w:cs="Times New Roman"/>
          <w:b/>
          <w:bCs/>
          <w:sz w:val="24"/>
          <w:szCs w:val="24"/>
        </w:rPr>
      </w:pPr>
      <w:r w:rsidRPr="00EC6561">
        <w:rPr>
          <w:rFonts w:ascii="Times New Roman" w:eastAsia="Times New Roman" w:hAnsi="Times New Roman" w:cs="Times New Roman"/>
          <w:b/>
          <w:bCs/>
          <w:sz w:val="24"/>
          <w:szCs w:val="24"/>
        </w:rPr>
        <w:t>Strategy 2: Enhance Interpreter Services and Cultural Mediation</w:t>
      </w:r>
    </w:p>
    <w:p w14:paraId="767B6E95" w14:textId="6EF932ED" w:rsidR="000A724C" w:rsidRPr="000A724C" w:rsidRDefault="000A724C" w:rsidP="00EC6561">
      <w:pPr>
        <w:spacing w:line="480" w:lineRule="auto"/>
        <w:ind w:firstLine="720"/>
        <w:rPr>
          <w:rFonts w:ascii="Times New Roman" w:eastAsia="Times New Roman" w:hAnsi="Times New Roman" w:cs="Times New Roman"/>
          <w:sz w:val="24"/>
          <w:szCs w:val="24"/>
        </w:rPr>
      </w:pPr>
      <w:r w:rsidRPr="000A724C">
        <w:rPr>
          <w:rFonts w:ascii="Times New Roman" w:eastAsia="Times New Roman" w:hAnsi="Times New Roman" w:cs="Times New Roman"/>
          <w:sz w:val="24"/>
          <w:szCs w:val="24"/>
        </w:rPr>
        <w:t>Quality healthcare provision heavily relies on effective communication, and a language barrier is one of the biggest contributors to health disparities. Galanti (2015) recognizes that the consequences of miscommunication can be misdiagnosis, wrong medication prescriptions, and the loss of patient trust. Besides having language proficiency, professional interpreters also possess the knowledge of medical vocabulary, and thus present information correctly and in a completely detailed manner. The significance of professional interpreters is backed by empirical evidence showing that they can reduce medication errors and enhance patient outcomes (Heath et al., 2023). Other than the interpretation of language, cultural mediators play an important role in mediating betwe</w:t>
      </w:r>
      <w:r w:rsidR="002609F5">
        <w:rPr>
          <w:rFonts w:ascii="Times New Roman" w:eastAsia="Times New Roman" w:hAnsi="Times New Roman" w:cs="Times New Roman"/>
          <w:sz w:val="24"/>
          <w:szCs w:val="24"/>
        </w:rPr>
        <w:t>en cultural differences. While</w:t>
      </w:r>
      <w:r w:rsidRPr="000A724C">
        <w:rPr>
          <w:rFonts w:ascii="Times New Roman" w:eastAsia="Times New Roman" w:hAnsi="Times New Roman" w:cs="Times New Roman"/>
          <w:sz w:val="24"/>
          <w:szCs w:val="24"/>
        </w:rPr>
        <w:t xml:space="preserve"> interpreters resolve language barriers, cultural mediators help providers to get familiar with the </w:t>
      </w:r>
      <w:r w:rsidR="002609F5">
        <w:rPr>
          <w:rFonts w:ascii="Times New Roman" w:eastAsia="Times New Roman" w:hAnsi="Times New Roman" w:cs="Times New Roman"/>
          <w:sz w:val="24"/>
          <w:szCs w:val="24"/>
        </w:rPr>
        <w:t xml:space="preserve">patient’s </w:t>
      </w:r>
      <w:r w:rsidR="002609F5" w:rsidRPr="000A724C">
        <w:rPr>
          <w:rFonts w:ascii="Times New Roman" w:eastAsia="Times New Roman" w:hAnsi="Times New Roman" w:cs="Times New Roman"/>
          <w:sz w:val="24"/>
          <w:szCs w:val="24"/>
        </w:rPr>
        <w:t>cu</w:t>
      </w:r>
      <w:r w:rsidR="002609F5">
        <w:rPr>
          <w:rFonts w:ascii="Times New Roman" w:eastAsia="Times New Roman" w:hAnsi="Times New Roman" w:cs="Times New Roman"/>
          <w:sz w:val="24"/>
          <w:szCs w:val="24"/>
        </w:rPr>
        <w:t>lture</w:t>
      </w:r>
      <w:r w:rsidR="002609F5">
        <w:rPr>
          <w:rFonts w:ascii="Times New Roman" w:eastAsia="Times New Roman" w:hAnsi="Times New Roman" w:cs="Times New Roman"/>
          <w:sz w:val="24"/>
          <w:szCs w:val="24"/>
        </w:rPr>
        <w:t>,</w:t>
      </w:r>
      <w:r w:rsidRPr="000A724C">
        <w:rPr>
          <w:rFonts w:ascii="Times New Roman" w:eastAsia="Times New Roman" w:hAnsi="Times New Roman" w:cs="Times New Roman"/>
          <w:sz w:val="24"/>
          <w:szCs w:val="24"/>
        </w:rPr>
        <w:t xml:space="preserve"> beliefs</w:t>
      </w:r>
      <w:r w:rsidR="002609F5">
        <w:rPr>
          <w:rFonts w:ascii="Times New Roman" w:eastAsia="Times New Roman" w:hAnsi="Times New Roman" w:cs="Times New Roman"/>
          <w:sz w:val="24"/>
          <w:szCs w:val="24"/>
        </w:rPr>
        <w:t>,</w:t>
      </w:r>
      <w:r w:rsidRPr="000A724C">
        <w:rPr>
          <w:rFonts w:ascii="Times New Roman" w:eastAsia="Times New Roman" w:hAnsi="Times New Roman" w:cs="Times New Roman"/>
          <w:sz w:val="24"/>
          <w:szCs w:val="24"/>
        </w:rPr>
        <w:t xml:space="preserve"> and norms (Heath et al., 2023). They are prepared to educate the healthcare providers on customary practices and to relay healthcare recommendations in a culturally agreeable manner. The same case could have been avoided in Lia, where frequent misunderstandings in medication doses and treatment adherence could have been avoided by regular use of an interpreter and cultural mediator. In the case of an example, it could be that the mechanisms of anticonvulsant had been explained in a language that considered their spiritual model of the family, and this would have led to an acceptable course of treatment. Medical organizations must thus subject them to rigorous interpreter training programs, they must be available to all departments, and they need to be formally integrated into interdisciplinary care teams. This is a combination strategy that enhances linguistic accessibility and cultural responsiveness.</w:t>
      </w:r>
    </w:p>
    <w:p w14:paraId="784E33DA" w14:textId="77777777" w:rsidR="000A724C" w:rsidRPr="00EC6561" w:rsidRDefault="000A724C" w:rsidP="000A724C">
      <w:pPr>
        <w:spacing w:line="480" w:lineRule="auto"/>
        <w:rPr>
          <w:rFonts w:ascii="Times New Roman" w:eastAsia="Times New Roman" w:hAnsi="Times New Roman" w:cs="Times New Roman"/>
          <w:b/>
          <w:bCs/>
          <w:sz w:val="24"/>
          <w:szCs w:val="24"/>
        </w:rPr>
      </w:pPr>
      <w:r w:rsidRPr="00EC6561">
        <w:rPr>
          <w:rFonts w:ascii="Times New Roman" w:eastAsia="Times New Roman" w:hAnsi="Times New Roman" w:cs="Times New Roman"/>
          <w:b/>
          <w:bCs/>
          <w:sz w:val="24"/>
          <w:szCs w:val="24"/>
        </w:rPr>
        <w:t>Strategies: Strategy 3: Cultural Competence Training in Healthcare Education.</w:t>
      </w:r>
    </w:p>
    <w:p w14:paraId="6B28176C" w14:textId="7E8D0E0F" w:rsidR="000A724C" w:rsidRPr="000A724C" w:rsidRDefault="000A724C" w:rsidP="00EC6561">
      <w:pPr>
        <w:spacing w:line="480" w:lineRule="auto"/>
        <w:ind w:firstLine="720"/>
        <w:rPr>
          <w:rFonts w:ascii="Times New Roman" w:eastAsia="Times New Roman" w:hAnsi="Times New Roman" w:cs="Times New Roman"/>
          <w:sz w:val="24"/>
          <w:szCs w:val="24"/>
        </w:rPr>
      </w:pPr>
      <w:r w:rsidRPr="000A724C">
        <w:rPr>
          <w:rFonts w:ascii="Times New Roman" w:eastAsia="Times New Roman" w:hAnsi="Times New Roman" w:cs="Times New Roman"/>
          <w:sz w:val="24"/>
          <w:szCs w:val="24"/>
        </w:rPr>
        <w:t>Cultural competence is never an objective but a continuous learning and professional growth. Galanti (2015) reminds us of the notion of cultural humility, which is the idea that it is impossible to master another culture fully, and one should always be open to lifelong learning. A literature review confirms that systematic cultural competence education gains a great deal of importance in the form of positive attitudes of the providers, their knowledge, and the interpersonal skills with pati</w:t>
      </w:r>
      <w:r w:rsidR="002609F5">
        <w:rPr>
          <w:rFonts w:ascii="Times New Roman" w:eastAsia="Times New Roman" w:hAnsi="Times New Roman" w:cs="Times New Roman"/>
          <w:sz w:val="24"/>
          <w:szCs w:val="24"/>
        </w:rPr>
        <w:t>ents (Hughes et al., 2020). Additionally</w:t>
      </w:r>
      <w:r w:rsidRPr="000A724C">
        <w:rPr>
          <w:rFonts w:ascii="Times New Roman" w:eastAsia="Times New Roman" w:hAnsi="Times New Roman" w:cs="Times New Roman"/>
          <w:sz w:val="24"/>
          <w:szCs w:val="24"/>
        </w:rPr>
        <w:t>, this type of training should cover institutional aspects of healthcare inequity, such as institutional bias and underrepresentation of diverse groups in healthcare leadership, both of which have direct impacts on patient care. Through institutionalization of cultural competence education into the pre-professional curriculum and continued medical education, healthcare systems can also develop a culturally conscious and structurally prepared workforce that is responsive to patient diversity.</w:t>
      </w:r>
    </w:p>
    <w:p w14:paraId="4EC7AD10" w14:textId="50C4C304" w:rsidR="00EC6561" w:rsidRPr="00EC6561" w:rsidRDefault="000A724C" w:rsidP="000A724C">
      <w:pPr>
        <w:spacing w:line="480" w:lineRule="auto"/>
        <w:rPr>
          <w:rFonts w:ascii="Times New Roman" w:eastAsia="Times New Roman" w:hAnsi="Times New Roman" w:cs="Times New Roman"/>
          <w:b/>
          <w:bCs/>
          <w:sz w:val="24"/>
          <w:szCs w:val="24"/>
        </w:rPr>
      </w:pPr>
      <w:r w:rsidRPr="00EC6561">
        <w:rPr>
          <w:rFonts w:ascii="Times New Roman" w:eastAsia="Times New Roman" w:hAnsi="Times New Roman" w:cs="Times New Roman"/>
          <w:b/>
          <w:bCs/>
          <w:sz w:val="24"/>
          <w:szCs w:val="24"/>
        </w:rPr>
        <w:t>Syst</w:t>
      </w:r>
      <w:r w:rsidR="002609F5">
        <w:rPr>
          <w:rFonts w:ascii="Times New Roman" w:eastAsia="Times New Roman" w:hAnsi="Times New Roman" w:cs="Times New Roman"/>
          <w:b/>
          <w:bCs/>
          <w:sz w:val="24"/>
          <w:szCs w:val="24"/>
        </w:rPr>
        <w:t>emic and Ethical Considerations</w:t>
      </w:r>
    </w:p>
    <w:p w14:paraId="219CF6F4" w14:textId="118FA55D" w:rsidR="00EC6561" w:rsidRDefault="000A724C" w:rsidP="00EC6561">
      <w:pPr>
        <w:spacing w:line="480" w:lineRule="auto"/>
        <w:ind w:firstLine="720"/>
        <w:rPr>
          <w:rFonts w:ascii="Times New Roman" w:eastAsia="Times New Roman" w:hAnsi="Times New Roman" w:cs="Times New Roman"/>
          <w:sz w:val="24"/>
          <w:szCs w:val="24"/>
        </w:rPr>
      </w:pPr>
      <w:r w:rsidRPr="000A724C">
        <w:rPr>
          <w:rFonts w:ascii="Times New Roman" w:eastAsia="Times New Roman" w:hAnsi="Times New Roman" w:cs="Times New Roman"/>
          <w:sz w:val="24"/>
          <w:szCs w:val="24"/>
        </w:rPr>
        <w:t>The interaction between culture and the healthcare system is often immersed in an intricate moral dilemma. When working with cultural belief systems in patients, practitioners should be able to work actively without losing their professional approach to deliver quality care. The autonomy principle supports the idea that patients have the right to make choices that support their values, despite them being inconsistent with biomedical recommendations (Olchowska-Kotala et al., 2023). At the same time, the principles of beneficence and nonmaleficence require the providers to act in the best interest of the patient and not cause harm. To balance these principles, one needs to think ethically, engage in constant discourse, and be willing to collaborate and make decisions in a consistent patient-centered manner.</w:t>
      </w:r>
    </w:p>
    <w:p w14:paraId="277A4BA5" w14:textId="77777777" w:rsidR="002609F5" w:rsidRDefault="002609F5" w:rsidP="004472EF">
      <w:pPr>
        <w:spacing w:line="480" w:lineRule="auto"/>
        <w:jc w:val="center"/>
        <w:rPr>
          <w:rFonts w:ascii="Times New Roman" w:eastAsia="Times New Roman" w:hAnsi="Times New Roman" w:cs="Times New Roman"/>
          <w:b/>
          <w:bCs/>
          <w:sz w:val="24"/>
          <w:szCs w:val="24"/>
        </w:rPr>
      </w:pPr>
    </w:p>
    <w:p w14:paraId="19B4AE98" w14:textId="77777777" w:rsidR="002609F5" w:rsidRDefault="002609F5" w:rsidP="004472EF">
      <w:pPr>
        <w:spacing w:line="480" w:lineRule="auto"/>
        <w:jc w:val="center"/>
        <w:rPr>
          <w:rFonts w:ascii="Times New Roman" w:eastAsia="Times New Roman" w:hAnsi="Times New Roman" w:cs="Times New Roman"/>
          <w:b/>
          <w:bCs/>
          <w:sz w:val="24"/>
          <w:szCs w:val="24"/>
        </w:rPr>
      </w:pPr>
    </w:p>
    <w:p w14:paraId="00000027" w14:textId="1074C7E5" w:rsidR="00426354" w:rsidRDefault="00B85EBE" w:rsidP="004472EF">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Part 3 </w:t>
      </w:r>
      <w:r w:rsidR="007A15A9">
        <w:rPr>
          <w:rFonts w:ascii="Times New Roman" w:eastAsia="Times New Roman" w:hAnsi="Times New Roman" w:cs="Times New Roman"/>
          <w:b/>
          <w:bCs/>
          <w:sz w:val="24"/>
          <w:szCs w:val="24"/>
        </w:rPr>
        <w:t>Personal and Global Reflection</w:t>
      </w:r>
    </w:p>
    <w:p w14:paraId="00000028" w14:textId="6A474A42" w:rsidR="00426354" w:rsidRDefault="007A15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My study of cultural competence in healthcare has greatly changed my perception of how to treat a patient, diversity, as well as the role of a healthcare provider. My opinion was mainly influenced at first by the biomedical model </w:t>
      </w:r>
      <w:r w:rsidR="008A1DA7" w:rsidRPr="005C3914">
        <w:rPr>
          <w:rFonts w:ascii="Times New Roman" w:eastAsia="Times New Roman" w:hAnsi="Times New Roman" w:cs="Times New Roman"/>
          <w:sz w:val="24"/>
          <w:szCs w:val="24"/>
        </w:rPr>
        <w:t>(Ungvarsky, 2024)</w:t>
      </w:r>
      <w:r w:rsidR="008A1D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that focuses more on diagnosis, treatment, and clinical outcomes</w:t>
      </w:r>
      <w:r w:rsidR="008A1D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Although this strategy is necessary, I have developed an understanding that </w:t>
      </w:r>
      <w:r w:rsidR="005C3914">
        <w:rPr>
          <w:rFonts w:ascii="Times New Roman" w:eastAsia="Times New Roman" w:hAnsi="Times New Roman" w:cs="Times New Roman"/>
          <w:sz w:val="24"/>
          <w:szCs w:val="24"/>
        </w:rPr>
        <w:t>cultural competence</w:t>
      </w:r>
      <w:r>
        <w:rPr>
          <w:rFonts w:ascii="Times New Roman" w:eastAsia="Times New Roman" w:hAnsi="Times New Roman" w:cs="Times New Roman"/>
          <w:sz w:val="24"/>
          <w:szCs w:val="24"/>
        </w:rPr>
        <w:t xml:space="preserve"> cannot be </w:t>
      </w:r>
      <w:r w:rsidR="00C33D3B">
        <w:rPr>
          <w:rFonts w:ascii="Times New Roman" w:eastAsia="Times New Roman" w:hAnsi="Times New Roman" w:cs="Times New Roman"/>
          <w:sz w:val="24"/>
          <w:szCs w:val="24"/>
        </w:rPr>
        <w:t xml:space="preserve">established </w:t>
      </w:r>
      <w:r>
        <w:rPr>
          <w:rFonts w:ascii="Times New Roman" w:eastAsia="Times New Roman" w:hAnsi="Times New Roman" w:cs="Times New Roman"/>
          <w:sz w:val="24"/>
          <w:szCs w:val="24"/>
        </w:rPr>
        <w:t>without taking into account the cultural, social, and spiritual aspects of health. Among other significant lessons, I have learnt the so-called explanatory models of patients. Before this, I believed that medical knowledge was enough to inform the decision on the treatment. Nonetheless, now I know that the patient views illness in their cultural beliefs and life experiences. The interpretations shape their care-seeking behaviour, compliance with treatment, and their relationship with medical practitioners. This discovery has completely transformed my perception of patient-centered care. Giving information medically correctly is not enough, and providers need to know how the patients perceive their condition. The open-ended questions and active listening to the opinions of the patients are crucial steps in creating trust and achieving the proper pattern of communication.</w:t>
      </w:r>
    </w:p>
    <w:p w14:paraId="00000029" w14:textId="77777777" w:rsidR="00426354" w:rsidRDefault="007A15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humility is the other major concept that transformed my thoughts. In comparison with cultural competence, cultural humility also focuses on life-long learning and self-reflection, unlike cultural competence, which can imply some capability. It is easy to develop presumptions about cultures, but such presumptions may bring even more misunderstanding and unfair treatment. I have come to understand the significance of treating patients as a person without being insensitive to culture. I have also developed awareness regarding various cultural values. Certain practices that would be incongruent with biomedical methods otherwise might have a profound cultural context. As an illustration, the traditional healing procedures can offer emotional and spiritual care that supplements medical care. Instead of disregarding such practices, the healthcare givers ought to find solutions that will enable them to incorporate them into the care plans when feasible.</w:t>
      </w:r>
    </w:p>
    <w:p w14:paraId="0000002A" w14:textId="65D1764C" w:rsidR="00426354" w:rsidRDefault="007A15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global awareness has also increased due to this change of perspective. Various healthcare systems in the world mirror the cultural norms and the societal setup. Family engagement and social care in most non-Western environments are very imperative in making choices. The awareness of such differences explains why it is necessary to be able to adapt and be culturally sensitive in healthcare practice across the globe. The most influential event that I was able to learn is the influence of communication on patient outcomes. Discrimination of care can be caused by language barriers, low health literacy, and cultural misunderstanding</w:t>
      </w:r>
      <w:r w:rsidR="005C3914">
        <w:rPr>
          <w:rFonts w:ascii="Times New Roman" w:eastAsia="Times New Roman" w:hAnsi="Times New Roman" w:cs="Times New Roman"/>
          <w:sz w:val="24"/>
          <w:szCs w:val="24"/>
        </w:rPr>
        <w:t xml:space="preserve"> </w:t>
      </w:r>
      <w:r w:rsidR="005C3914" w:rsidRPr="005C3914">
        <w:rPr>
          <w:rFonts w:ascii="Times New Roman" w:eastAsia="Times New Roman" w:hAnsi="Times New Roman" w:cs="Times New Roman"/>
          <w:sz w:val="24"/>
          <w:szCs w:val="24"/>
        </w:rPr>
        <w:t>(Hughes et al., 2020)</w:t>
      </w:r>
      <w:r>
        <w:rPr>
          <w:rFonts w:ascii="Times New Roman" w:eastAsia="Times New Roman" w:hAnsi="Times New Roman" w:cs="Times New Roman"/>
          <w:sz w:val="24"/>
          <w:szCs w:val="24"/>
        </w:rPr>
        <w:t>. This makes the role of interpreters and cultural brokers in the health care environment very significant.</w:t>
      </w:r>
    </w:p>
    <w:p w14:paraId="0000002B" w14:textId="77777777" w:rsidR="00426354" w:rsidRDefault="007A15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the beliefs and values of patients is important in establishing trust and offering effective care. Second, avoid assumptions. Every patient is an individual, and cultural competence involves personalized cognition instead of utilizing stereotypes. Third, devote oneself to lifetime learning. Cultural competence is the continuous process that needs to be reflected, curious, and open. To sum up, cultural competence and cultural humility are the key elements of effective health. They allow the providers to maneuver through the cultural diversities, enhance communication, and achieve better patient outcomes. These are the lessons that I gained when learning about cultural conflicts in healthcare that not only expanded my thinking but also proved the significance of empathy, respect, and adaptability in clinical practi</w:t>
      </w:r>
      <w:bookmarkStart w:id="0" w:name="_GoBack"/>
      <w:bookmarkEnd w:id="0"/>
      <w:r>
        <w:rPr>
          <w:rFonts w:ascii="Times New Roman" w:eastAsia="Times New Roman" w:hAnsi="Times New Roman" w:cs="Times New Roman"/>
          <w:sz w:val="24"/>
          <w:szCs w:val="24"/>
        </w:rPr>
        <w:t>ce.</w:t>
      </w:r>
    </w:p>
    <w:p w14:paraId="0000002C" w14:textId="77777777" w:rsidR="00426354" w:rsidRDefault="007A15A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2D" w14:textId="6E381490" w:rsidR="00426354" w:rsidRDefault="007A15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sum up, the Lia Lee case illustrates how cultural misconceptions may adversely affect the healthcare outcomes if the providers do not acknowledge the beliefs and values of patients. By incorporating ideas of Geri-Ann Galanti (2015)</w:t>
      </w:r>
      <w:r w:rsidR="008A1DA7">
        <w:rPr>
          <w:rFonts w:ascii="Times New Roman" w:eastAsia="Times New Roman" w:hAnsi="Times New Roman" w:cs="Times New Roman"/>
          <w:sz w:val="24"/>
          <w:szCs w:val="24"/>
        </w:rPr>
        <w:t xml:space="preserve"> such as</w:t>
      </w:r>
      <w:r>
        <w:rPr>
          <w:rFonts w:ascii="Times New Roman" w:eastAsia="Times New Roman" w:hAnsi="Times New Roman" w:cs="Times New Roman"/>
          <w:sz w:val="24"/>
          <w:szCs w:val="24"/>
        </w:rPr>
        <w:t xml:space="preserve"> cultural competence, explanatory models, and cultural humility, successful patient care can be achieved. Cultural assessment, interpreter services, and continuous training are some of the strategies that can address the discrepancies between the patients and the providers. Also, ethical principles in combination with cultural sensitivity promote trust and teamwork. Finally, culturally responsive care is effective not only to enhance communication and compliance but also to provide equitable and respectful care towards patients with various populations in the modern healthcare global environment.</w:t>
      </w:r>
      <w:r>
        <w:br w:type="page"/>
      </w:r>
    </w:p>
    <w:p w14:paraId="0000002E" w14:textId="77777777" w:rsidR="00426354" w:rsidRDefault="007A15A9" w:rsidP="002609F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000002F" w14:textId="5C810ACA" w:rsidR="00426354" w:rsidRDefault="007A15A9" w:rsidP="00602EE7">
      <w:pPr>
        <w:spacing w:line="480" w:lineRule="auto"/>
        <w:rPr>
          <w:rFonts w:ascii="Times New Roman" w:eastAsia="Times New Roman" w:hAnsi="Times New Roman" w:cs="Times New Roman"/>
          <w:sz w:val="24"/>
          <w:szCs w:val="24"/>
        </w:rPr>
      </w:pPr>
      <w:bookmarkStart w:id="1" w:name="_Hlk226755044"/>
      <w:r>
        <w:rPr>
          <w:rFonts w:ascii="Times New Roman" w:eastAsia="Times New Roman" w:hAnsi="Times New Roman" w:cs="Times New Roman"/>
          <w:sz w:val="24"/>
          <w:szCs w:val="24"/>
        </w:rPr>
        <w:t xml:space="preserve">Anne Fadiman. (2025). </w:t>
      </w:r>
      <w:bookmarkEnd w:id="1"/>
      <w:r>
        <w:rPr>
          <w:rFonts w:ascii="Times New Roman" w:eastAsia="Times New Roman" w:hAnsi="Times New Roman" w:cs="Times New Roman"/>
          <w:i/>
          <w:iCs/>
          <w:sz w:val="24"/>
          <w:szCs w:val="24"/>
        </w:rPr>
        <w:t>The Spirit Catches You and You Fall Down: A Hmong Child, Her</w:t>
      </w:r>
      <w:r w:rsidR="005C3914">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American Doctors, and the Collision of Two Cultures | English</w:t>
      </w:r>
      <w:r>
        <w:rPr>
          <w:rFonts w:ascii="Times New Roman" w:eastAsia="Times New Roman" w:hAnsi="Times New Roman" w:cs="Times New Roman"/>
          <w:sz w:val="24"/>
          <w:szCs w:val="24"/>
        </w:rPr>
        <w:t xml:space="preserve">. English.yale.edu. </w:t>
      </w:r>
    </w:p>
    <w:p w14:paraId="00000030" w14:textId="2BC548FA" w:rsidR="00426354" w:rsidRDefault="007A15A9" w:rsidP="00602EE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Cipta, D. A., Andoko, D., Theja, A., Utama, A. V. E., Hendrik, H., William, D. G., Reina, N.,</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Handoko, M. T., &amp; Lumbuun, N. (2024). Culturally sensitive patient-centered</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healthcare: A focus on health behavior modification in low and middle-income</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nations—insights from indonesia. </w:t>
      </w:r>
      <w:r>
        <w:rPr>
          <w:rFonts w:ascii="Times New Roman" w:eastAsia="Times New Roman" w:hAnsi="Times New Roman" w:cs="Times New Roman"/>
          <w:i/>
          <w:iCs/>
          <w:sz w:val="24"/>
          <w:szCs w:val="24"/>
        </w:rPr>
        <w:t>Frontiers in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(1353037), 1–7.</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https://doi.org/10.3389/fmed.2024.1353037</w:t>
      </w:r>
    </w:p>
    <w:p w14:paraId="00000031" w14:textId="304F3D96" w:rsidR="00426354" w:rsidRDefault="007A15A9" w:rsidP="00602EE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Geri-Ann Galanti. (2015). </w:t>
      </w:r>
      <w:r>
        <w:rPr>
          <w:rFonts w:ascii="Times New Roman" w:eastAsia="Times New Roman" w:hAnsi="Times New Roman" w:cs="Times New Roman"/>
          <w:i/>
          <w:iCs/>
          <w:sz w:val="24"/>
          <w:szCs w:val="24"/>
        </w:rPr>
        <w:t>Caring for Patients from Different Cultures – Penn Press</w:t>
      </w:r>
      <w:r>
        <w:rPr>
          <w:rFonts w:ascii="Times New Roman" w:eastAsia="Times New Roman" w:hAnsi="Times New Roman" w:cs="Times New Roman"/>
          <w:sz w:val="24"/>
          <w:szCs w:val="24"/>
        </w:rPr>
        <w:t>.</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University of Pennsylvania Press. </w:t>
      </w:r>
    </w:p>
    <w:p w14:paraId="00000032" w14:textId="107C7233" w:rsidR="00426354" w:rsidRDefault="007A15A9" w:rsidP="00602EE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Heath, M., Hvass, A. M. F., &amp; Wejse, C. M. (2023). Interpreter services and effect on</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healthcare - a systematic review of the impact of different types of interpreters on</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patient outcome. </w:t>
      </w:r>
      <w:r>
        <w:rPr>
          <w:rFonts w:ascii="Times New Roman" w:eastAsia="Times New Roman" w:hAnsi="Times New Roman" w:cs="Times New Roman"/>
          <w:i/>
          <w:iCs/>
          <w:sz w:val="24"/>
          <w:szCs w:val="24"/>
        </w:rPr>
        <w:t>Journal of Migration and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(100162).</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https://doi.org/10.1016/j.jmh.2023.100162</w:t>
      </w:r>
    </w:p>
    <w:p w14:paraId="00000033" w14:textId="1135B9D7" w:rsidR="00426354" w:rsidRDefault="007A15A9" w:rsidP="00602EE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HHS. (n.d.). </w:t>
      </w:r>
      <w:r>
        <w:rPr>
          <w:rFonts w:ascii="Times New Roman" w:eastAsia="Times New Roman" w:hAnsi="Times New Roman" w:cs="Times New Roman"/>
          <w:i/>
          <w:iCs/>
          <w:sz w:val="24"/>
          <w:szCs w:val="24"/>
        </w:rPr>
        <w:t>Arthur Kleinman’s Eight Questions</w:t>
      </w:r>
      <w:r>
        <w:rPr>
          <w:rFonts w:ascii="Times New Roman" w:eastAsia="Times New Roman" w:hAnsi="Times New Roman" w:cs="Times New Roman"/>
          <w:sz w:val="24"/>
          <w:szCs w:val="24"/>
        </w:rPr>
        <w:t>.</w:t>
      </w:r>
      <w:r w:rsidR="005C3914">
        <w:rPr>
          <w:rFonts w:ascii="Times New Roman" w:eastAsia="Times New Roman" w:hAnsi="Times New Roman" w:cs="Times New Roman"/>
          <w:sz w:val="24"/>
          <w:szCs w:val="24"/>
        </w:rPr>
        <w:tab/>
      </w:r>
      <w:hyperlink r:id="rId6" w:history="1">
        <w:r w:rsidR="005C3914" w:rsidRPr="00DB68E9">
          <w:rPr>
            <w:rStyle w:val="Hyperlink"/>
            <w:rFonts w:ascii="Times New Roman" w:eastAsia="Times New Roman" w:hAnsi="Times New Roman" w:cs="Times New Roman"/>
            <w:sz w:val="24"/>
            <w:szCs w:val="24"/>
          </w:rPr>
          <w:t>https://thinkculturalhealth.hhs.gov/assets/pdfs/resource-library/arthur-kleinmans</w:t>
        </w:r>
      </w:hyperlink>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eight-questions.pdf</w:t>
      </w:r>
    </w:p>
    <w:p w14:paraId="00000035" w14:textId="546A654B" w:rsidR="00426354" w:rsidRDefault="007A15A9" w:rsidP="00602EE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Hughes, V., Delva, S., Nkimbeng, M., Spaulding, E., Turkson-Ocran, R.-A., Cudjoe, J., Ford,</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A., Rushton, C., D’Aoust, R., &amp; Han, H.-R. (2020). Not missing the opportunity:</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Strategies to promote cultural humility among future nursing faculty. </w:t>
      </w:r>
      <w:r>
        <w:rPr>
          <w:rFonts w:ascii="Times New Roman" w:eastAsia="Times New Roman" w:hAnsi="Times New Roman" w:cs="Times New Roman"/>
          <w:i/>
          <w:iCs/>
          <w:sz w:val="24"/>
          <w:szCs w:val="24"/>
        </w:rPr>
        <w:t>Journal of</w:t>
      </w:r>
      <w:r w:rsidR="005C3914">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Professional Nursing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36</w:t>
      </w:r>
      <w:r>
        <w:rPr>
          <w:rFonts w:ascii="Times New Roman" w:eastAsia="Times New Roman" w:hAnsi="Times New Roman" w:cs="Times New Roman"/>
          <w:sz w:val="24"/>
          <w:szCs w:val="24"/>
        </w:rPr>
        <w:t xml:space="preserve">(1), 28–33. </w:t>
      </w:r>
      <w:hyperlink r:id="rId7" w:history="1">
        <w:r w:rsidR="005C3914" w:rsidRPr="00DB68E9">
          <w:rPr>
            <w:rStyle w:val="Hyperlink"/>
            <w:rFonts w:ascii="Times New Roman" w:eastAsia="Times New Roman" w:hAnsi="Times New Roman" w:cs="Times New Roman"/>
            <w:sz w:val="24"/>
            <w:szCs w:val="24"/>
          </w:rPr>
          <w:t>https://doi.org/10.1016/j.profnurs.2019.06.005</w:t>
        </w:r>
      </w:hyperlink>
    </w:p>
    <w:p w14:paraId="59F11E8A" w14:textId="77777777" w:rsidR="005C3914" w:rsidRDefault="005C3914" w:rsidP="005C3914">
      <w:pPr>
        <w:pStyle w:val="NormalWeb"/>
        <w:spacing w:before="0" w:beforeAutospacing="0" w:after="0" w:afterAutospacing="0" w:line="480" w:lineRule="auto"/>
        <w:ind w:left="720" w:hanging="720"/>
      </w:pPr>
      <w:r>
        <w:t xml:space="preserve">Olchowska-Kotala, A., Strządała, A., &amp; Barański, J. (2023). Patients’ Values and Desire for Autonomy: An Empirical Study from Poland. </w:t>
      </w:r>
      <w:r>
        <w:rPr>
          <w:i/>
          <w:iCs/>
        </w:rPr>
        <w:t>Journal of Bioethical Inquiry</w:t>
      </w:r>
      <w:r>
        <w:t xml:space="preserve">, </w:t>
      </w:r>
      <w:r>
        <w:rPr>
          <w:i/>
          <w:iCs/>
        </w:rPr>
        <w:t>20</w:t>
      </w:r>
      <w:r>
        <w:t>, 409–419. https://doi.org/10.1007/s11673-023-10241-y</w:t>
      </w:r>
    </w:p>
    <w:p w14:paraId="122D8547" w14:textId="56C1510F" w:rsidR="005C3914" w:rsidRDefault="005C3914" w:rsidP="005C3914">
      <w:pPr>
        <w:pStyle w:val="NormalWeb"/>
        <w:spacing w:before="0" w:beforeAutospacing="0" w:after="0" w:afterAutospacing="0" w:line="480" w:lineRule="auto"/>
        <w:ind w:left="720" w:hanging="720"/>
      </w:pPr>
      <w:r>
        <w:t xml:space="preserve">Ungvarsky, J. (2024). </w:t>
      </w:r>
      <w:r>
        <w:rPr>
          <w:i/>
          <w:iCs/>
        </w:rPr>
        <w:t>Biomedical model of health | EBSCO</w:t>
      </w:r>
      <w:r>
        <w:t>. EBSCO Information Services, Inc. | Www.ebsco.com. https://www.ebsco.com/research-starters/consumer-health/biomedical-model-health</w:t>
      </w:r>
    </w:p>
    <w:p w14:paraId="3EFB1552" w14:textId="77777777" w:rsidR="00461E6D" w:rsidRDefault="00461E6D" w:rsidP="00461E6D">
      <w:pPr>
        <w:pStyle w:val="NormalWeb"/>
        <w:spacing w:before="0" w:beforeAutospacing="0" w:after="0" w:afterAutospacing="0" w:line="480" w:lineRule="auto"/>
        <w:ind w:left="720" w:hanging="720"/>
      </w:pPr>
      <w:r>
        <w:t xml:space="preserve">Vandecasteele, R., Robijn, L., Willems, S., De Maesschalck, S., &amp; Stevens, P. A. J. (2024). Barriers and Facilitators to Culturally Sensitive Care in General practice: a Reflexive Thematic Analysis. </w:t>
      </w:r>
      <w:r>
        <w:rPr>
          <w:i/>
          <w:iCs/>
        </w:rPr>
        <w:t>BMC Primary Care</w:t>
      </w:r>
      <w:r>
        <w:t xml:space="preserve">, </w:t>
      </w:r>
      <w:r>
        <w:rPr>
          <w:i/>
          <w:iCs/>
        </w:rPr>
        <w:t>25</w:t>
      </w:r>
      <w:r>
        <w:t>(1). https://doi.org/10.1186/s12875-024-02630-y</w:t>
      </w:r>
    </w:p>
    <w:p w14:paraId="416DCA06" w14:textId="77777777" w:rsidR="00461E6D" w:rsidRDefault="00461E6D" w:rsidP="00461E6D">
      <w:pPr>
        <w:pStyle w:val="NormalWeb"/>
        <w:spacing w:before="0" w:beforeAutospacing="0" w:after="0" w:afterAutospacing="0" w:line="480" w:lineRule="auto"/>
        <w:ind w:left="720" w:hanging="720"/>
      </w:pPr>
      <w:r>
        <w:t xml:space="preserve">Yousaf, M., Ahmad, M., Ji, D., Huang, D., &amp; Raza, S. H. (2022). A cross-cultural comparison of ethnocentrism and the intercultural willingness to communicate between two collectivistic cultures. </w:t>
      </w:r>
      <w:r>
        <w:rPr>
          <w:i/>
          <w:iCs/>
        </w:rPr>
        <w:t>Scientific Reports</w:t>
      </w:r>
      <w:r>
        <w:t xml:space="preserve">, </w:t>
      </w:r>
      <w:r>
        <w:rPr>
          <w:i/>
          <w:iCs/>
        </w:rPr>
        <w:t>12</w:t>
      </w:r>
      <w:r>
        <w:t>(1), 17087. https://doi.org/10.1038/s41598-022-21179-3</w:t>
      </w:r>
    </w:p>
    <w:p w14:paraId="2BEC1CDA" w14:textId="77777777" w:rsidR="00461E6D" w:rsidRDefault="00461E6D" w:rsidP="00461E6D">
      <w:pPr>
        <w:pStyle w:val="NormalWeb"/>
        <w:spacing w:before="0" w:beforeAutospacing="0" w:after="0" w:afterAutospacing="0" w:line="480" w:lineRule="auto"/>
        <w:ind w:left="720" w:hanging="720"/>
      </w:pPr>
      <w:r>
        <w:t xml:space="preserve">Zhang, Y. (2023). Hmong Spirituality, Nature, and Place. </w:t>
      </w:r>
      <w:r>
        <w:rPr>
          <w:i/>
          <w:iCs/>
        </w:rPr>
        <w:t>Religions</w:t>
      </w:r>
      <w:r>
        <w:t xml:space="preserve">, </w:t>
      </w:r>
      <w:r>
        <w:rPr>
          <w:i/>
          <w:iCs/>
        </w:rPr>
        <w:t>14</w:t>
      </w:r>
      <w:r>
        <w:t>(9), 1127–1127. https://doi.org/10.3390/rel14091127</w:t>
      </w:r>
    </w:p>
    <w:p w14:paraId="514F80D1" w14:textId="77777777" w:rsidR="00461E6D" w:rsidRDefault="00461E6D" w:rsidP="005C3914">
      <w:pPr>
        <w:pStyle w:val="NormalWeb"/>
        <w:spacing w:before="0" w:beforeAutospacing="0" w:after="0" w:afterAutospacing="0" w:line="480" w:lineRule="auto"/>
        <w:ind w:left="720" w:hanging="720"/>
      </w:pPr>
    </w:p>
    <w:p w14:paraId="370242D6" w14:textId="77777777" w:rsidR="005C3914" w:rsidRDefault="005C3914" w:rsidP="00602EE7">
      <w:pPr>
        <w:spacing w:line="480" w:lineRule="auto"/>
        <w:rPr>
          <w:rFonts w:ascii="Times New Roman" w:eastAsia="Times New Roman" w:hAnsi="Times New Roman" w:cs="Times New Roman"/>
          <w:sz w:val="24"/>
          <w:szCs w:val="24"/>
        </w:rPr>
      </w:pPr>
    </w:p>
    <w:p w14:paraId="00000036" w14:textId="77777777" w:rsidR="00426354" w:rsidRDefault="00426354">
      <w:pPr>
        <w:spacing w:line="480" w:lineRule="auto"/>
        <w:ind w:firstLine="720"/>
        <w:rPr>
          <w:rFonts w:ascii="Times New Roman" w:eastAsia="Times New Roman" w:hAnsi="Times New Roman" w:cs="Times New Roman"/>
          <w:sz w:val="24"/>
          <w:szCs w:val="24"/>
        </w:rPr>
      </w:pPr>
    </w:p>
    <w:sectPr w:rsidR="00426354">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AF4AC" w14:textId="77777777" w:rsidR="008F2B09" w:rsidRDefault="008F2B09">
      <w:pPr>
        <w:spacing w:line="240" w:lineRule="auto"/>
      </w:pPr>
      <w:r>
        <w:separator/>
      </w:r>
    </w:p>
  </w:endnote>
  <w:endnote w:type="continuationSeparator" w:id="0">
    <w:p w14:paraId="7E28D8E9" w14:textId="77777777" w:rsidR="008F2B09" w:rsidRDefault="008F2B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3258DB-A21D-4C26-8FEC-7C6E7E6C4261}"/>
  </w:font>
  <w:font w:name="Cambria">
    <w:panose1 w:val="02040503050406030204"/>
    <w:charset w:val="00"/>
    <w:family w:val="roman"/>
    <w:pitch w:val="variable"/>
    <w:sig w:usb0="E00006FF" w:usb1="420024FF" w:usb2="02000000" w:usb3="00000000" w:csb0="0000019F" w:csb1="00000000"/>
    <w:embedRegular r:id="rId2" w:fontKey="{7A3CFF34-0592-44C1-ACE7-58E84854FC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38" w14:textId="77777777" w:rsidR="00426354" w:rsidRDefault="004263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0CDB0" w14:textId="77777777" w:rsidR="008F2B09" w:rsidRDefault="008F2B09">
      <w:pPr>
        <w:spacing w:line="240" w:lineRule="auto"/>
      </w:pPr>
      <w:r>
        <w:separator/>
      </w:r>
    </w:p>
  </w:footnote>
  <w:footnote w:type="continuationSeparator" w:id="0">
    <w:p w14:paraId="23CF0A8C" w14:textId="77777777" w:rsidR="008F2B09" w:rsidRDefault="008F2B0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37" w14:textId="6D047B7C" w:rsidR="00426354" w:rsidRDefault="007A15A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8F2B09">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tDA3MDUzMbK0MDY2M7BQ0lEKTi0uzszPAykwqQUAfgrrpCwAAAA="/>
  </w:docVars>
  <w:rsids>
    <w:rsidRoot w:val="00426354"/>
    <w:rsid w:val="00094962"/>
    <w:rsid w:val="000A724C"/>
    <w:rsid w:val="000C1935"/>
    <w:rsid w:val="000C4595"/>
    <w:rsid w:val="000D4598"/>
    <w:rsid w:val="001018F2"/>
    <w:rsid w:val="00105DCF"/>
    <w:rsid w:val="001157C0"/>
    <w:rsid w:val="00140B49"/>
    <w:rsid w:val="00162885"/>
    <w:rsid w:val="00175358"/>
    <w:rsid w:val="00177548"/>
    <w:rsid w:val="0018680F"/>
    <w:rsid w:val="001C4135"/>
    <w:rsid w:val="001D4391"/>
    <w:rsid w:val="001F589E"/>
    <w:rsid w:val="002300E1"/>
    <w:rsid w:val="0023137D"/>
    <w:rsid w:val="00247EF5"/>
    <w:rsid w:val="002609F5"/>
    <w:rsid w:val="00260AA2"/>
    <w:rsid w:val="002D5E1F"/>
    <w:rsid w:val="00342B0F"/>
    <w:rsid w:val="00350EC6"/>
    <w:rsid w:val="00353E6C"/>
    <w:rsid w:val="0035730C"/>
    <w:rsid w:val="00371DFA"/>
    <w:rsid w:val="00380DE6"/>
    <w:rsid w:val="003B6517"/>
    <w:rsid w:val="00402699"/>
    <w:rsid w:val="00426354"/>
    <w:rsid w:val="004279C9"/>
    <w:rsid w:val="004472EF"/>
    <w:rsid w:val="00451320"/>
    <w:rsid w:val="00461E6D"/>
    <w:rsid w:val="004E384D"/>
    <w:rsid w:val="00521714"/>
    <w:rsid w:val="00532CED"/>
    <w:rsid w:val="0055459B"/>
    <w:rsid w:val="0056790C"/>
    <w:rsid w:val="0057330F"/>
    <w:rsid w:val="005C0D86"/>
    <w:rsid w:val="005C3914"/>
    <w:rsid w:val="00602EE7"/>
    <w:rsid w:val="006C6CF2"/>
    <w:rsid w:val="006D7962"/>
    <w:rsid w:val="00706B23"/>
    <w:rsid w:val="00760BE9"/>
    <w:rsid w:val="00785AB3"/>
    <w:rsid w:val="007A15A9"/>
    <w:rsid w:val="007D766B"/>
    <w:rsid w:val="00807543"/>
    <w:rsid w:val="008278D1"/>
    <w:rsid w:val="00884B3E"/>
    <w:rsid w:val="008912A3"/>
    <w:rsid w:val="00897C34"/>
    <w:rsid w:val="008A1DA7"/>
    <w:rsid w:val="008F2B09"/>
    <w:rsid w:val="00907296"/>
    <w:rsid w:val="009837D8"/>
    <w:rsid w:val="009B085F"/>
    <w:rsid w:val="009F2702"/>
    <w:rsid w:val="00A62BFA"/>
    <w:rsid w:val="00A947F1"/>
    <w:rsid w:val="00AB2982"/>
    <w:rsid w:val="00AE0DAB"/>
    <w:rsid w:val="00AE734F"/>
    <w:rsid w:val="00B569BC"/>
    <w:rsid w:val="00B74C99"/>
    <w:rsid w:val="00B85EBE"/>
    <w:rsid w:val="00BA0238"/>
    <w:rsid w:val="00BB7E29"/>
    <w:rsid w:val="00BC2A8A"/>
    <w:rsid w:val="00C000E4"/>
    <w:rsid w:val="00C00BE1"/>
    <w:rsid w:val="00C33D3B"/>
    <w:rsid w:val="00C36E0F"/>
    <w:rsid w:val="00D10F7E"/>
    <w:rsid w:val="00DC1AF9"/>
    <w:rsid w:val="00E11BEF"/>
    <w:rsid w:val="00E7727C"/>
    <w:rsid w:val="00E81FB5"/>
    <w:rsid w:val="00EA5E2D"/>
    <w:rsid w:val="00EB5174"/>
    <w:rsid w:val="00EC30DF"/>
    <w:rsid w:val="00EC6561"/>
    <w:rsid w:val="00ED7A94"/>
    <w:rsid w:val="00F02547"/>
    <w:rsid w:val="00F36600"/>
    <w:rsid w:val="00F946A8"/>
    <w:rsid w:val="00FA01CA"/>
    <w:rsid w:val="00FA5C28"/>
    <w:rsid w:val="00FC1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084B7"/>
  <w15:docId w15:val="{71809924-5E5C-427A-8F96-DC1CB6A8A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1F589E"/>
    <w:rPr>
      <w:sz w:val="16"/>
      <w:szCs w:val="16"/>
    </w:rPr>
  </w:style>
  <w:style w:type="paragraph" w:styleId="CommentText">
    <w:name w:val="annotation text"/>
    <w:basedOn w:val="Normal"/>
    <w:link w:val="CommentTextChar"/>
    <w:uiPriority w:val="99"/>
    <w:unhideWhenUsed/>
    <w:rsid w:val="001F589E"/>
    <w:pPr>
      <w:spacing w:line="240" w:lineRule="auto"/>
    </w:pPr>
    <w:rPr>
      <w:sz w:val="20"/>
      <w:szCs w:val="20"/>
    </w:rPr>
  </w:style>
  <w:style w:type="character" w:customStyle="1" w:styleId="CommentTextChar">
    <w:name w:val="Comment Text Char"/>
    <w:basedOn w:val="DefaultParagraphFont"/>
    <w:link w:val="CommentText"/>
    <w:uiPriority w:val="99"/>
    <w:rsid w:val="001F589E"/>
    <w:rPr>
      <w:sz w:val="20"/>
      <w:szCs w:val="20"/>
    </w:rPr>
  </w:style>
  <w:style w:type="paragraph" w:styleId="CommentSubject">
    <w:name w:val="annotation subject"/>
    <w:basedOn w:val="CommentText"/>
    <w:next w:val="CommentText"/>
    <w:link w:val="CommentSubjectChar"/>
    <w:uiPriority w:val="99"/>
    <w:semiHidden/>
    <w:unhideWhenUsed/>
    <w:rsid w:val="001F589E"/>
    <w:rPr>
      <w:b/>
      <w:bCs/>
    </w:rPr>
  </w:style>
  <w:style w:type="character" w:customStyle="1" w:styleId="CommentSubjectChar">
    <w:name w:val="Comment Subject Char"/>
    <w:basedOn w:val="CommentTextChar"/>
    <w:link w:val="CommentSubject"/>
    <w:uiPriority w:val="99"/>
    <w:semiHidden/>
    <w:rsid w:val="001F589E"/>
    <w:rPr>
      <w:b/>
      <w:bCs/>
      <w:sz w:val="20"/>
      <w:szCs w:val="20"/>
    </w:rPr>
  </w:style>
  <w:style w:type="character" w:styleId="Hyperlink">
    <w:name w:val="Hyperlink"/>
    <w:basedOn w:val="DefaultParagraphFont"/>
    <w:uiPriority w:val="99"/>
    <w:unhideWhenUsed/>
    <w:rsid w:val="005C3914"/>
    <w:rPr>
      <w:color w:val="0000FF" w:themeColor="hyperlink"/>
      <w:u w:val="single"/>
    </w:rPr>
  </w:style>
  <w:style w:type="character" w:customStyle="1" w:styleId="UnresolvedMention">
    <w:name w:val="Unresolved Mention"/>
    <w:basedOn w:val="DefaultParagraphFont"/>
    <w:uiPriority w:val="99"/>
    <w:semiHidden/>
    <w:unhideWhenUsed/>
    <w:rsid w:val="005C3914"/>
    <w:rPr>
      <w:color w:val="605E5C"/>
      <w:shd w:val="clear" w:color="auto" w:fill="E1DFDD"/>
    </w:rPr>
  </w:style>
  <w:style w:type="paragraph" w:styleId="NormalWeb">
    <w:name w:val="Normal (Web)"/>
    <w:basedOn w:val="Normal"/>
    <w:uiPriority w:val="99"/>
    <w:semiHidden/>
    <w:unhideWhenUsed/>
    <w:rsid w:val="005C3914"/>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588726">
      <w:bodyDiv w:val="1"/>
      <w:marLeft w:val="0"/>
      <w:marRight w:val="0"/>
      <w:marTop w:val="0"/>
      <w:marBottom w:val="0"/>
      <w:divBdr>
        <w:top w:val="none" w:sz="0" w:space="0" w:color="auto"/>
        <w:left w:val="none" w:sz="0" w:space="0" w:color="auto"/>
        <w:bottom w:val="none" w:sz="0" w:space="0" w:color="auto"/>
        <w:right w:val="none" w:sz="0" w:space="0" w:color="auto"/>
      </w:divBdr>
      <w:divsChild>
        <w:div w:id="620379401">
          <w:marLeft w:val="-720"/>
          <w:marRight w:val="0"/>
          <w:marTop w:val="0"/>
          <w:marBottom w:val="0"/>
          <w:divBdr>
            <w:top w:val="none" w:sz="0" w:space="0" w:color="auto"/>
            <w:left w:val="none" w:sz="0" w:space="0" w:color="auto"/>
            <w:bottom w:val="none" w:sz="0" w:space="0" w:color="auto"/>
            <w:right w:val="none" w:sz="0" w:space="0" w:color="auto"/>
          </w:divBdr>
        </w:div>
      </w:divsChild>
    </w:div>
    <w:div w:id="875001370">
      <w:bodyDiv w:val="1"/>
      <w:marLeft w:val="0"/>
      <w:marRight w:val="0"/>
      <w:marTop w:val="0"/>
      <w:marBottom w:val="0"/>
      <w:divBdr>
        <w:top w:val="none" w:sz="0" w:space="0" w:color="auto"/>
        <w:left w:val="none" w:sz="0" w:space="0" w:color="auto"/>
        <w:bottom w:val="none" w:sz="0" w:space="0" w:color="auto"/>
        <w:right w:val="none" w:sz="0" w:space="0" w:color="auto"/>
      </w:divBdr>
      <w:divsChild>
        <w:div w:id="1567302957">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doi.org/10.1016/j.profnurs.2019.06.00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inkculturalhealth.hhs.gov/assets/pdfs/resource-library/arthur-kleinman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2664</Words>
  <Characters>15191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dc:creator>
  <cp:lastModifiedBy>Editor</cp:lastModifiedBy>
  <cp:revision>2</cp:revision>
  <dcterms:created xsi:type="dcterms:W3CDTF">2026-04-15T07:54:00Z</dcterms:created>
  <dcterms:modified xsi:type="dcterms:W3CDTF">2026-04-15T07:54:00Z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6dc3fd9e-c2ad-4866-a97e-fe0ba8a3cab4</vt:lpwstr>
  </property>
</Properties>
</file>