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C9FC" w14:textId="77777777" w:rsidR="00190F8B" w:rsidRDefault="00190F8B" w:rsidP="00190F8B">
      <w:pPr>
        <w:spacing w:line="480" w:lineRule="auto"/>
        <w:jc w:val="center"/>
        <w:rPr>
          <w:b/>
          <w:bCs/>
          <w:sz w:val="24"/>
          <w:szCs w:val="24"/>
        </w:rPr>
      </w:pPr>
    </w:p>
    <w:p w14:paraId="18A44153" w14:textId="77777777" w:rsidR="00190F8B" w:rsidRDefault="00190F8B" w:rsidP="00190F8B">
      <w:pPr>
        <w:spacing w:line="480" w:lineRule="auto"/>
        <w:jc w:val="center"/>
        <w:rPr>
          <w:b/>
          <w:bCs/>
          <w:sz w:val="24"/>
          <w:szCs w:val="24"/>
        </w:rPr>
      </w:pPr>
    </w:p>
    <w:p w14:paraId="4C2FFDDB" w14:textId="77777777" w:rsidR="00190F8B" w:rsidRDefault="00190F8B" w:rsidP="00190F8B">
      <w:pPr>
        <w:spacing w:line="480" w:lineRule="auto"/>
        <w:jc w:val="center"/>
        <w:rPr>
          <w:b/>
          <w:bCs/>
          <w:sz w:val="24"/>
          <w:szCs w:val="24"/>
        </w:rPr>
      </w:pPr>
    </w:p>
    <w:p w14:paraId="4543D673" w14:textId="77777777" w:rsidR="00190F8B" w:rsidRDefault="00190F8B" w:rsidP="00190F8B">
      <w:pPr>
        <w:spacing w:line="480" w:lineRule="auto"/>
        <w:jc w:val="center"/>
        <w:rPr>
          <w:b/>
          <w:bCs/>
          <w:sz w:val="24"/>
          <w:szCs w:val="24"/>
        </w:rPr>
      </w:pPr>
    </w:p>
    <w:p w14:paraId="0E17DE93" w14:textId="77777777" w:rsidR="00190F8B" w:rsidRDefault="00190F8B" w:rsidP="00190F8B">
      <w:pPr>
        <w:spacing w:line="480" w:lineRule="auto"/>
        <w:jc w:val="center"/>
        <w:rPr>
          <w:b/>
          <w:bCs/>
          <w:sz w:val="24"/>
          <w:szCs w:val="24"/>
        </w:rPr>
      </w:pPr>
    </w:p>
    <w:p w14:paraId="6EA6F972" w14:textId="77777777" w:rsidR="00190F8B" w:rsidRDefault="00190F8B" w:rsidP="00190F8B">
      <w:pPr>
        <w:spacing w:line="480" w:lineRule="auto"/>
        <w:jc w:val="center"/>
        <w:rPr>
          <w:b/>
          <w:bCs/>
          <w:sz w:val="24"/>
          <w:szCs w:val="24"/>
        </w:rPr>
      </w:pPr>
    </w:p>
    <w:p w14:paraId="56250EED" w14:textId="77777777" w:rsidR="00190F8B" w:rsidRDefault="00190F8B" w:rsidP="00190F8B">
      <w:pPr>
        <w:spacing w:line="480" w:lineRule="auto"/>
        <w:jc w:val="center"/>
        <w:rPr>
          <w:b/>
          <w:bCs/>
          <w:sz w:val="24"/>
          <w:szCs w:val="24"/>
        </w:rPr>
      </w:pPr>
    </w:p>
    <w:p w14:paraId="20F1957A" w14:textId="16BC7018" w:rsidR="00E2429B" w:rsidRDefault="00190F8B" w:rsidP="00190F8B">
      <w:pPr>
        <w:spacing w:line="480" w:lineRule="auto"/>
        <w:jc w:val="center"/>
      </w:pPr>
      <w:r>
        <w:rPr>
          <w:b/>
          <w:bCs/>
          <w:sz w:val="24"/>
          <w:szCs w:val="24"/>
        </w:rPr>
        <w:t>Final Project</w:t>
      </w:r>
    </w:p>
    <w:p w14:paraId="774814CC" w14:textId="77777777" w:rsidR="00190F8B" w:rsidRDefault="00190F8B" w:rsidP="00190F8B">
      <w:pPr>
        <w:spacing w:line="480" w:lineRule="auto"/>
        <w:jc w:val="center"/>
      </w:pPr>
    </w:p>
    <w:p w14:paraId="74FE3184" w14:textId="256B6087" w:rsidR="00E2429B" w:rsidRDefault="00000000" w:rsidP="007A2EF3">
      <w:pPr>
        <w:spacing w:line="480" w:lineRule="auto"/>
        <w:jc w:val="center"/>
      </w:pPr>
      <w:r>
        <w:rPr>
          <w:sz w:val="24"/>
          <w:szCs w:val="24"/>
        </w:rPr>
        <w:t>Tobi Corley</w:t>
      </w:r>
    </w:p>
    <w:p w14:paraId="67927B1B" w14:textId="2362EBAB" w:rsidR="00E2429B" w:rsidRDefault="00000000" w:rsidP="007A2EF3">
      <w:pPr>
        <w:spacing w:line="480" w:lineRule="auto"/>
        <w:jc w:val="center"/>
      </w:pPr>
      <w:r>
        <w:rPr>
          <w:sz w:val="24"/>
          <w:szCs w:val="24"/>
        </w:rPr>
        <w:t>Valdosta University</w:t>
      </w:r>
    </w:p>
    <w:p w14:paraId="3003FFDD" w14:textId="24F7C3AF" w:rsidR="00E2429B" w:rsidRDefault="00000000" w:rsidP="007A2EF3">
      <w:pPr>
        <w:spacing w:line="480" w:lineRule="auto"/>
        <w:jc w:val="center"/>
      </w:pPr>
      <w:r>
        <w:rPr>
          <w:sz w:val="24"/>
          <w:szCs w:val="24"/>
        </w:rPr>
        <w:t>ACED 4050 IB</w:t>
      </w:r>
    </w:p>
    <w:p w14:paraId="32CD4563" w14:textId="501ACBC4" w:rsidR="00E2429B" w:rsidRDefault="00000000" w:rsidP="007A2EF3">
      <w:pPr>
        <w:spacing w:line="480" w:lineRule="auto"/>
        <w:jc w:val="center"/>
      </w:pPr>
      <w:r>
        <w:rPr>
          <w:sz w:val="24"/>
          <w:szCs w:val="24"/>
        </w:rPr>
        <w:t>Dr. Bond</w:t>
      </w:r>
    </w:p>
    <w:p w14:paraId="07EBBA37" w14:textId="77777777" w:rsidR="00E2429B" w:rsidRDefault="00000000">
      <w:pPr>
        <w:spacing w:line="480" w:lineRule="auto"/>
        <w:jc w:val="center"/>
      </w:pPr>
      <w:r>
        <w:rPr>
          <w:sz w:val="24"/>
          <w:szCs w:val="24"/>
        </w:rPr>
        <w:t>April 2026</w:t>
      </w:r>
    </w:p>
    <w:p w14:paraId="32535036" w14:textId="77777777" w:rsidR="00637DC1" w:rsidRDefault="00637DC1">
      <w:pPr>
        <w:rPr>
          <w:b/>
          <w:bCs/>
          <w:sz w:val="24"/>
          <w:szCs w:val="24"/>
        </w:rPr>
      </w:pPr>
      <w:r>
        <w:rPr>
          <w:b/>
          <w:bCs/>
          <w:sz w:val="24"/>
          <w:szCs w:val="24"/>
        </w:rPr>
        <w:br w:type="page"/>
      </w:r>
    </w:p>
    <w:p w14:paraId="7BD87046" w14:textId="0D23D29C" w:rsidR="00E2429B" w:rsidRDefault="00190F8B" w:rsidP="007A2EF3">
      <w:pPr>
        <w:spacing w:line="480" w:lineRule="auto"/>
        <w:jc w:val="center"/>
        <w:rPr>
          <w:b/>
          <w:bCs/>
          <w:sz w:val="24"/>
          <w:szCs w:val="24"/>
        </w:rPr>
      </w:pPr>
      <w:r>
        <w:rPr>
          <w:b/>
          <w:bCs/>
          <w:sz w:val="24"/>
          <w:szCs w:val="24"/>
        </w:rPr>
        <w:lastRenderedPageBreak/>
        <w:t>Final Project</w:t>
      </w:r>
    </w:p>
    <w:p w14:paraId="10C6F277" w14:textId="47C8C559" w:rsidR="00E0746D" w:rsidRPr="00287BF8" w:rsidRDefault="00FD6672" w:rsidP="00E0746D">
      <w:pPr>
        <w:spacing w:line="480" w:lineRule="auto"/>
        <w:ind w:firstLine="720"/>
        <w:jc w:val="both"/>
        <w:rPr>
          <w:sz w:val="24"/>
          <w:szCs w:val="24"/>
        </w:rPr>
      </w:pPr>
      <w:r w:rsidRPr="00FD6672">
        <w:rPr>
          <w:sz w:val="24"/>
          <w:szCs w:val="24"/>
        </w:rPr>
        <w:t xml:space="preserve">ACED 4050 has contributed to enhancing my concept of good leadership in technical jobs throughout this semester. </w:t>
      </w:r>
      <w:r w:rsidR="0011719D" w:rsidRPr="00FD6672">
        <w:rPr>
          <w:sz w:val="24"/>
          <w:szCs w:val="24"/>
        </w:rPr>
        <w:t>Continuing</w:t>
      </w:r>
      <w:r w:rsidRPr="00FD6672">
        <w:rPr>
          <w:sz w:val="24"/>
          <w:szCs w:val="24"/>
        </w:rPr>
        <w:t xml:space="preserve"> the fundamental principles of management, the course examined the theories of motivation, organizational culture, and communication with strategies with practical relevance. These are not abstract ideas; as a Compensation Specialist within human resources, these notions help in shaping decisions that impact people, systems, and organizational success. The reflection covers the five most important units, what I learned in each, and how that information will make me a better professional in the future, allowing me to be a more effective leader, align strategy and people, and make my contributions count in the overall organizational objectives</w:t>
      </w:r>
      <w:r w:rsidR="00E0746D" w:rsidRPr="00287BF8">
        <w:rPr>
          <w:sz w:val="24"/>
          <w:szCs w:val="24"/>
        </w:rPr>
        <w:t>.</w:t>
      </w:r>
    </w:p>
    <w:p w14:paraId="3B50818B" w14:textId="77777777" w:rsidR="00E0746D" w:rsidRPr="00287BF8" w:rsidRDefault="00E0746D" w:rsidP="00E0746D">
      <w:pPr>
        <w:spacing w:line="480" w:lineRule="auto"/>
        <w:jc w:val="center"/>
        <w:rPr>
          <w:sz w:val="24"/>
          <w:szCs w:val="24"/>
        </w:rPr>
      </w:pPr>
      <w:r w:rsidRPr="00287BF8">
        <w:rPr>
          <w:b/>
          <w:bCs/>
          <w:sz w:val="24"/>
          <w:szCs w:val="24"/>
        </w:rPr>
        <w:t>Unit 1: Management and Environment for Technical Leaders</w:t>
      </w:r>
    </w:p>
    <w:p w14:paraId="352F2457" w14:textId="61E94C1C" w:rsidR="00E0746D" w:rsidRPr="00287BF8" w:rsidRDefault="0079141C" w:rsidP="00E0746D">
      <w:pPr>
        <w:spacing w:line="480" w:lineRule="auto"/>
        <w:ind w:firstLine="720"/>
        <w:jc w:val="both"/>
        <w:rPr>
          <w:sz w:val="24"/>
          <w:szCs w:val="24"/>
        </w:rPr>
      </w:pPr>
      <w:r w:rsidRPr="0079141C">
        <w:rPr>
          <w:sz w:val="24"/>
          <w:szCs w:val="24"/>
        </w:rPr>
        <w:t>In Unit 1, students were familiarized with general management principles in technical areas with an emphasis on the influence of the internal and external environment on leadership and organizational behavior. One of the lessons learned was that management is dynamic and has no rules. According to Kinicki and Soignet (2022), leaders must be adaptive and proactive as they shift stakeholders, competition, and market conditions. I related this understanding to my career as a Compensation Specialist, where the pay structure, equity guidelines, and benefits will have to continue to adapt with the labor laws and talent markets. I have previously considered compensation reviews as a periodic process, but now I think of them as a continuous process that has to be monitored and changed constantly.</w:t>
      </w:r>
      <w:r>
        <w:rPr>
          <w:sz w:val="24"/>
          <w:szCs w:val="24"/>
        </w:rPr>
        <w:t xml:space="preserve"> </w:t>
      </w:r>
      <w:r w:rsidR="00E0746D" w:rsidRPr="00287BF8">
        <w:rPr>
          <w:sz w:val="24"/>
          <w:szCs w:val="24"/>
        </w:rPr>
        <w:t xml:space="preserve">With disruption, a compensation professional waits to be enacted. This unit helped me change my reactive mindset into an anticipatory one; a transition that I believe is core to becoming a good technical leader. In the future, I will use constant </w:t>
      </w:r>
      <w:r w:rsidR="00E0746D" w:rsidRPr="00287BF8">
        <w:rPr>
          <w:sz w:val="24"/>
          <w:szCs w:val="24"/>
        </w:rPr>
        <w:lastRenderedPageBreak/>
        <w:t>environmental scanning as a part of my practice, and learning legislative changes, salary benchmarking data, and workforce trends as ongoing inputs rather than occasional references.</w:t>
      </w:r>
    </w:p>
    <w:p w14:paraId="6C91E948" w14:textId="77777777" w:rsidR="00E0746D" w:rsidRPr="00287BF8" w:rsidRDefault="00E0746D" w:rsidP="00E0746D">
      <w:pPr>
        <w:spacing w:line="480" w:lineRule="auto"/>
        <w:jc w:val="center"/>
        <w:rPr>
          <w:sz w:val="24"/>
          <w:szCs w:val="24"/>
        </w:rPr>
      </w:pPr>
      <w:r w:rsidRPr="00287BF8">
        <w:rPr>
          <w:b/>
          <w:bCs/>
          <w:sz w:val="24"/>
          <w:szCs w:val="24"/>
        </w:rPr>
        <w:t>Unit 2: Planning Techniques for Technical Leaders</w:t>
      </w:r>
    </w:p>
    <w:p w14:paraId="34AF5A88" w14:textId="77777777" w:rsidR="00E0746D" w:rsidRPr="00287BF8" w:rsidRDefault="00E0746D" w:rsidP="00E0746D">
      <w:pPr>
        <w:spacing w:line="480" w:lineRule="auto"/>
        <w:ind w:firstLine="720"/>
        <w:jc w:val="both"/>
        <w:rPr>
          <w:sz w:val="24"/>
          <w:szCs w:val="24"/>
        </w:rPr>
      </w:pPr>
      <w:r w:rsidRPr="00287BF8">
        <w:rPr>
          <w:sz w:val="24"/>
          <w:szCs w:val="24"/>
        </w:rPr>
        <w:t>Unit 2 centered on planning as a strategic leadership role, rather than a scheduling activity. Project 2 on Evidence-Based Management (EBM) and Discussion 2 on proactive learning orientation helped me realize that effective planning means aligning resources, objectives, and actions to the overall strategy of an organization - and basing those decisions on valid information, and not guesswork or tradition. According to Kinicki and Soignet (2022), proactive learners can be characterized by seeking growth opportunities, setting achievable goals, and maintaining a solution-focused orientation. Alghamdi and Agag (2024) also confirm that data-driven organizations can more easily navigate uncertainty and develop sustainable competitive advantages.</w:t>
      </w:r>
    </w:p>
    <w:p w14:paraId="4630D21F" w14:textId="77777777" w:rsidR="00E0746D" w:rsidRPr="00287BF8" w:rsidRDefault="00E0746D" w:rsidP="00E0746D">
      <w:pPr>
        <w:spacing w:line="480" w:lineRule="auto"/>
        <w:ind w:firstLine="720"/>
        <w:jc w:val="both"/>
        <w:rPr>
          <w:sz w:val="24"/>
          <w:szCs w:val="24"/>
        </w:rPr>
      </w:pPr>
      <w:r w:rsidRPr="00287BF8">
        <w:rPr>
          <w:sz w:val="24"/>
          <w:szCs w:val="24"/>
        </w:rPr>
        <w:t>This course was a personal breakthrough as it made me question the quality of my own decision-making strategies. I realized that the suggestions I have made on compensation in the past were rather more on precedent and hunch than facts. Project 2 provided me with a structured approach to the implementation of EBM, namely, the process of identifying a business problem, finding the necessary data, evaluating its quality, and making rational decisions. In the future, I will invest intentionally in HR analytics solutions, be more concerned with pay equity laws, and build a practice of compensating data benchmarking before recommendations. Aligning short-term compensation adjustments with long-term organizational goals, rather than treating them as isolated decisions, is a discipline I intend to apply consistently.</w:t>
      </w:r>
    </w:p>
    <w:p w14:paraId="59F9CA60" w14:textId="77777777" w:rsidR="00E0746D" w:rsidRPr="00287BF8" w:rsidRDefault="00E0746D" w:rsidP="00E0746D">
      <w:pPr>
        <w:spacing w:line="480" w:lineRule="auto"/>
        <w:jc w:val="center"/>
        <w:rPr>
          <w:sz w:val="24"/>
          <w:szCs w:val="24"/>
        </w:rPr>
      </w:pPr>
      <w:r w:rsidRPr="00287BF8">
        <w:rPr>
          <w:b/>
          <w:bCs/>
          <w:sz w:val="24"/>
          <w:szCs w:val="24"/>
        </w:rPr>
        <w:t>Unit 3: Organizing for Success as a Technical Leader</w:t>
      </w:r>
    </w:p>
    <w:p w14:paraId="5ED599EB" w14:textId="77777777" w:rsidR="00E0746D" w:rsidRPr="00287BF8" w:rsidRDefault="00E0746D" w:rsidP="00E0746D">
      <w:pPr>
        <w:spacing w:line="480" w:lineRule="auto"/>
        <w:ind w:firstLine="720"/>
        <w:jc w:val="both"/>
        <w:rPr>
          <w:sz w:val="24"/>
          <w:szCs w:val="24"/>
        </w:rPr>
      </w:pPr>
      <w:r w:rsidRPr="00287BF8">
        <w:rPr>
          <w:sz w:val="24"/>
          <w:szCs w:val="24"/>
        </w:rPr>
        <w:lastRenderedPageBreak/>
        <w:t>Unit 3 explored the essence of organizational structure and culture as the framework within which the technical leadership would act. Project 3 and Discussion 3 helped me develop a better appreciation of how the fit (or lack thereof) between HR practices, organizational design, and cultural values directly determines employee behavior and business outcomes. Indeed, Sull, Sull, and Zweig (2022) show that companies that foster an environment of trust, respect, and transparency have much higher levels of employee engagement and lower turnover rates.</w:t>
      </w:r>
    </w:p>
    <w:p w14:paraId="437EAC6E" w14:textId="77777777" w:rsidR="00E0746D" w:rsidRPr="00287BF8" w:rsidRDefault="00E0746D" w:rsidP="00E0746D">
      <w:pPr>
        <w:spacing w:line="480" w:lineRule="auto"/>
        <w:ind w:firstLine="720"/>
        <w:jc w:val="both"/>
        <w:rPr>
          <w:sz w:val="24"/>
          <w:szCs w:val="24"/>
        </w:rPr>
      </w:pPr>
    </w:p>
    <w:p w14:paraId="6DA9CC8D" w14:textId="7F33848C" w:rsidR="00E0746D" w:rsidRPr="00287BF8" w:rsidRDefault="00E0746D" w:rsidP="00E0746D">
      <w:pPr>
        <w:spacing w:line="480" w:lineRule="auto"/>
        <w:ind w:firstLine="720"/>
        <w:jc w:val="both"/>
        <w:rPr>
          <w:sz w:val="24"/>
          <w:szCs w:val="24"/>
        </w:rPr>
      </w:pPr>
      <w:r w:rsidRPr="00287BF8">
        <w:rPr>
          <w:sz w:val="24"/>
          <w:szCs w:val="24"/>
        </w:rPr>
        <w:t>The Discussion 3 case study I have read about Wells Fargo was, by far, the most didactic piece of information I received throughout the semester. When the compensation incentives are organized in a manner that makes them contradict the ethical organizational culture, employees will move rationally, in search of the compensation incentives, at the cost of integrity</w:t>
      </w:r>
      <w:r w:rsidR="00973CA7">
        <w:rPr>
          <w:sz w:val="24"/>
          <w:szCs w:val="24"/>
        </w:rPr>
        <w:t xml:space="preserve"> (</w:t>
      </w:r>
      <w:r w:rsidR="00973CA7" w:rsidRPr="00287BF8">
        <w:rPr>
          <w:sz w:val="24"/>
          <w:szCs w:val="24"/>
        </w:rPr>
        <w:t>Perna</w:t>
      </w:r>
      <w:r w:rsidR="00973CA7">
        <w:rPr>
          <w:sz w:val="24"/>
          <w:szCs w:val="24"/>
        </w:rPr>
        <w:t xml:space="preserve"> et al., 2020)</w:t>
      </w:r>
      <w:r w:rsidRPr="00287BF8">
        <w:rPr>
          <w:sz w:val="24"/>
          <w:szCs w:val="24"/>
        </w:rPr>
        <w:t>. It was not an individual character failure but a failure of system design. This understanding has utterly altered my attitude towards my own work. Being involved in designing pay systems, I now realize that there is an ethical context to such systems. They influence behavior on a large scale. Kinicki and Soignet (2022) describe organizational structure, culture, and HR practices as three strands of the rope: each one of them reinforces the others, and the rope is only possible when all three strands are in line. I take this analogy with me as a decision-making tool - not only is it a competitive pay scheme, but it's a culturally sensible and ethical scheme.</w:t>
      </w:r>
    </w:p>
    <w:p w14:paraId="26194033" w14:textId="77777777" w:rsidR="00E0746D" w:rsidRPr="00287BF8" w:rsidRDefault="00E0746D" w:rsidP="00E0746D">
      <w:pPr>
        <w:spacing w:line="480" w:lineRule="auto"/>
        <w:jc w:val="center"/>
        <w:rPr>
          <w:sz w:val="24"/>
          <w:szCs w:val="24"/>
        </w:rPr>
      </w:pPr>
      <w:r w:rsidRPr="00287BF8">
        <w:rPr>
          <w:b/>
          <w:bCs/>
          <w:sz w:val="24"/>
          <w:szCs w:val="24"/>
        </w:rPr>
        <w:t>Unit 4: Leadership Strategies for Technical Leaders</w:t>
      </w:r>
    </w:p>
    <w:p w14:paraId="31C0AB7C" w14:textId="77777777" w:rsidR="00E0746D" w:rsidRPr="00287BF8" w:rsidRDefault="00E0746D" w:rsidP="00E0746D">
      <w:pPr>
        <w:spacing w:line="480" w:lineRule="auto"/>
        <w:ind w:firstLine="720"/>
        <w:jc w:val="both"/>
        <w:rPr>
          <w:sz w:val="24"/>
          <w:szCs w:val="24"/>
        </w:rPr>
      </w:pPr>
      <w:r w:rsidRPr="00287BF8">
        <w:rPr>
          <w:sz w:val="24"/>
          <w:szCs w:val="24"/>
        </w:rPr>
        <w:t xml:space="preserve">The section that I found most transformative personally during this course was Unit 4, as it helped me change my perception of motivation not as a broad notion, but as an actionable model that can be applied. Project 4, Discussion 4, and some of the case studies helped me explore the Equity Theory, Expectancy Theory, and the contribution made by perceptual biases to leadership </w:t>
      </w:r>
      <w:r w:rsidRPr="00287BF8">
        <w:rPr>
          <w:sz w:val="24"/>
          <w:szCs w:val="24"/>
        </w:rPr>
        <w:lastRenderedPageBreak/>
        <w:t>decisions. In discussion 4, the role of cognitive biases (such as attribution errors and in-group favoritism) in making the leader misread employee values and misjudge the performance reward system was explained.</w:t>
      </w:r>
    </w:p>
    <w:p w14:paraId="477F8E69" w14:textId="77777777" w:rsidR="00E0746D" w:rsidRPr="00287BF8" w:rsidRDefault="00E0746D" w:rsidP="00E0746D">
      <w:pPr>
        <w:spacing w:line="480" w:lineRule="auto"/>
        <w:ind w:firstLine="720"/>
        <w:jc w:val="both"/>
        <w:rPr>
          <w:sz w:val="24"/>
          <w:szCs w:val="24"/>
        </w:rPr>
      </w:pPr>
      <w:r w:rsidRPr="00287BF8">
        <w:rPr>
          <w:sz w:val="24"/>
          <w:szCs w:val="24"/>
        </w:rPr>
        <w:t>Equity Theory showed that employees would always compare what they offer and what they get, and compare that ratio to other friends. When workers feel that their compensation is not comparable to that of others, not necessarily equally, but in relative terms, they work less, become disengaged, or quit. This is how I now consider pay transparency. A compensation structure cannot be technically fair and leave employees without understanding how decisions are made, and that the criteria are consistently followed.  Expectancy Theory gave one more dimension, showing that motivation is determined based on three beliefs: that performance is the result of effort, that rewards are the result of performance, and that rewards are personally valuable. This made me realize that pay is not all that motivates workers - workers are also motivated by growth, flexible work hours, and appreciation. Carter, Smith, and Johnson (2020) affirm that culturally responsive training and individualized training significantly enhance employee engagement. Combined with the Pygmalion Effect, which demonstrates that leader expectations directly shape employee performance, this unit calls me toward more deliberate, individualized, and bias-aware leadership.</w:t>
      </w:r>
    </w:p>
    <w:p w14:paraId="03872E3C" w14:textId="77777777" w:rsidR="00E0746D" w:rsidRPr="00287BF8" w:rsidRDefault="00E0746D" w:rsidP="00E0746D">
      <w:pPr>
        <w:spacing w:line="480" w:lineRule="auto"/>
        <w:jc w:val="center"/>
        <w:rPr>
          <w:sz w:val="24"/>
          <w:szCs w:val="24"/>
        </w:rPr>
      </w:pPr>
      <w:r w:rsidRPr="00287BF8">
        <w:rPr>
          <w:b/>
          <w:bCs/>
          <w:sz w:val="24"/>
          <w:szCs w:val="24"/>
        </w:rPr>
        <w:t>Unit 5: Influence, Communication, and Organizational Commitment</w:t>
      </w:r>
    </w:p>
    <w:p w14:paraId="74057056" w14:textId="77777777" w:rsidR="00E0746D" w:rsidRPr="00287BF8" w:rsidRDefault="00E0746D" w:rsidP="00E0746D">
      <w:pPr>
        <w:spacing w:line="480" w:lineRule="auto"/>
        <w:ind w:firstLine="720"/>
        <w:jc w:val="both"/>
        <w:rPr>
          <w:sz w:val="24"/>
          <w:szCs w:val="24"/>
        </w:rPr>
      </w:pPr>
      <w:r w:rsidRPr="00287BF8">
        <w:rPr>
          <w:sz w:val="24"/>
          <w:szCs w:val="24"/>
        </w:rPr>
        <w:t xml:space="preserve">Unit 5 concluded the course by looking at how leaders can create outcomes out of communication, relational trust, and organizational commitment. The key thing that I learned during this unit is that authority does not create effective influence. Instead, it is a result of the credibility that the leader has created by being consistent in words and action, listening to their subjects, and investing in them. Open communication, decision-making processes, and </w:t>
      </w:r>
      <w:r w:rsidRPr="00287BF8">
        <w:rPr>
          <w:sz w:val="24"/>
          <w:szCs w:val="24"/>
        </w:rPr>
        <w:lastRenderedPageBreak/>
        <w:t>encouraging professional growth make leaders better than those who solely make use of positional power.</w:t>
      </w:r>
    </w:p>
    <w:p w14:paraId="75D35DAD" w14:textId="325D5091" w:rsidR="00E0746D" w:rsidRPr="00287BF8" w:rsidRDefault="005971CA" w:rsidP="003C5840">
      <w:pPr>
        <w:spacing w:line="480" w:lineRule="auto"/>
        <w:ind w:firstLine="720"/>
        <w:jc w:val="both"/>
        <w:rPr>
          <w:sz w:val="24"/>
          <w:szCs w:val="24"/>
        </w:rPr>
      </w:pPr>
      <w:r w:rsidRPr="005971CA">
        <w:rPr>
          <w:sz w:val="24"/>
          <w:szCs w:val="24"/>
        </w:rPr>
        <w:t>Learning about the existence of organizational commitment changed my perception of employee retention. To begin with, staff will not leave due to salary payment but will definitely be retained because they feel important, listened to, and related to a higher cause. In addition, Discussion 5 puts emphasis on control processes and continuous improvement. Tortorella, Fogliatto, and Anzanello (2021) show that productivity and satisfaction are improved with the help of such data-driven practices as Total Quality Management and the Plan-Do-Check-Act cycle. This, in turn, strengthened my faith in feedback and clarity in communication. Thus, I will be more deliberate in articulating the compensation decisions, consistency, and openness create trust in a manner that can not be attained by pay structures alone</w:t>
      </w:r>
      <w:r w:rsidR="00E0746D" w:rsidRPr="00287BF8">
        <w:rPr>
          <w:sz w:val="24"/>
          <w:szCs w:val="24"/>
        </w:rPr>
        <w:t>.</w:t>
      </w:r>
    </w:p>
    <w:p w14:paraId="3156FE89" w14:textId="7696ACCC" w:rsidR="00E0746D" w:rsidRPr="00287BF8" w:rsidRDefault="00E0746D" w:rsidP="003C5840">
      <w:pPr>
        <w:spacing w:line="480" w:lineRule="auto"/>
        <w:jc w:val="center"/>
        <w:rPr>
          <w:sz w:val="24"/>
          <w:szCs w:val="24"/>
        </w:rPr>
      </w:pPr>
      <w:r w:rsidRPr="00287BF8">
        <w:rPr>
          <w:b/>
          <w:bCs/>
          <w:sz w:val="24"/>
          <w:szCs w:val="24"/>
        </w:rPr>
        <w:t>Application of Knowledge</w:t>
      </w:r>
    </w:p>
    <w:p w14:paraId="639D7BEB" w14:textId="29B31343" w:rsidR="00E0746D" w:rsidRPr="00287BF8" w:rsidRDefault="00843B07" w:rsidP="006D7776">
      <w:pPr>
        <w:spacing w:line="480" w:lineRule="auto"/>
        <w:ind w:firstLine="720"/>
        <w:jc w:val="both"/>
        <w:rPr>
          <w:sz w:val="24"/>
          <w:szCs w:val="24"/>
        </w:rPr>
      </w:pPr>
      <w:r w:rsidRPr="00843B07">
        <w:rPr>
          <w:sz w:val="24"/>
          <w:szCs w:val="24"/>
        </w:rPr>
        <w:t>A combination of readings, quizzes, discussions, and projects provided an integrative learning experience, necessitating the need to apply theory to solve real-world problems and consolidating my tendency to bridge the gap between academic theory and practice.</w:t>
      </w:r>
      <w:r>
        <w:rPr>
          <w:sz w:val="24"/>
          <w:szCs w:val="24"/>
        </w:rPr>
        <w:t xml:space="preserve"> </w:t>
      </w:r>
      <w:r w:rsidR="00E0746D" w:rsidRPr="00287BF8">
        <w:rPr>
          <w:sz w:val="24"/>
          <w:szCs w:val="24"/>
        </w:rPr>
        <w:t>Project 2 worked on creating a conceptualized comp decision-making process, the EBM framework, whereas Project 3 has transformed my view of HR as an ethical basis for judgment in leadership. Moreover, group discussions, in particular, the Wells Fargo case, enhanced my understanding of organizational systems in determining behavior and results.</w:t>
      </w:r>
    </w:p>
    <w:p w14:paraId="622BB3BF" w14:textId="402DC831" w:rsidR="00E0746D" w:rsidRPr="00287BF8" w:rsidRDefault="00E0746D" w:rsidP="00BB3023">
      <w:pPr>
        <w:spacing w:line="480" w:lineRule="auto"/>
        <w:jc w:val="center"/>
        <w:rPr>
          <w:sz w:val="24"/>
          <w:szCs w:val="24"/>
        </w:rPr>
      </w:pPr>
      <w:r w:rsidRPr="00287BF8">
        <w:rPr>
          <w:b/>
          <w:bCs/>
          <w:sz w:val="24"/>
          <w:szCs w:val="24"/>
        </w:rPr>
        <w:t>Professional Reflection and Forward Application</w:t>
      </w:r>
    </w:p>
    <w:p w14:paraId="0889E09B" w14:textId="5984368E" w:rsidR="00E0746D" w:rsidRPr="00287BF8" w:rsidRDefault="00E0746D" w:rsidP="00BB3023">
      <w:pPr>
        <w:spacing w:line="480" w:lineRule="auto"/>
        <w:ind w:firstLine="720"/>
        <w:jc w:val="both"/>
        <w:rPr>
          <w:sz w:val="24"/>
          <w:szCs w:val="24"/>
        </w:rPr>
      </w:pPr>
      <w:r w:rsidRPr="00287BF8">
        <w:rPr>
          <w:sz w:val="24"/>
          <w:szCs w:val="24"/>
        </w:rPr>
        <w:t xml:space="preserve">Before this course, my technical leadership style was highly task-driven and compliance-based, with an emphasis on accuracy, legal compliance, and benchmarking. But this course has opened my eyes to a lot. I have now realized that technical competence is necessary, but not enough </w:t>
      </w:r>
      <w:r w:rsidRPr="00287BF8">
        <w:rPr>
          <w:sz w:val="24"/>
          <w:szCs w:val="24"/>
        </w:rPr>
        <w:lastRenderedPageBreak/>
        <w:t>to be an effective leader, and instead, interpersonal awareness, ethical judgment, motivational insight, and adaptive communication are all needed.</w:t>
      </w:r>
    </w:p>
    <w:p w14:paraId="2C7A3F8D" w14:textId="77777777" w:rsidR="00E0746D" w:rsidRPr="00287BF8" w:rsidRDefault="00E0746D" w:rsidP="00E0746D">
      <w:pPr>
        <w:spacing w:line="480" w:lineRule="auto"/>
        <w:ind w:firstLine="720"/>
        <w:jc w:val="both"/>
        <w:rPr>
          <w:sz w:val="24"/>
          <w:szCs w:val="24"/>
        </w:rPr>
      </w:pPr>
      <w:r w:rsidRPr="00287BF8">
        <w:rPr>
          <w:sz w:val="24"/>
          <w:szCs w:val="24"/>
        </w:rPr>
        <w:t>Going forward, I will therefore anchor compensation decisions in empirical evidence using EBM principles, while also actively reducing bias through structured evaluations and diverse input. Furthermore, I will strive to achieve the status of CCP to enhance my competence, and finally encourage clear, ethical, and psychologically wholesome workplaces.</w:t>
      </w:r>
    </w:p>
    <w:p w14:paraId="68E4C243" w14:textId="77777777" w:rsidR="00E0746D" w:rsidRPr="00287BF8" w:rsidRDefault="00E0746D" w:rsidP="00E0746D">
      <w:pPr>
        <w:spacing w:line="480" w:lineRule="auto"/>
        <w:jc w:val="center"/>
        <w:rPr>
          <w:sz w:val="24"/>
          <w:szCs w:val="24"/>
        </w:rPr>
      </w:pPr>
      <w:r w:rsidRPr="00287BF8">
        <w:rPr>
          <w:b/>
          <w:bCs/>
          <w:sz w:val="24"/>
          <w:szCs w:val="24"/>
        </w:rPr>
        <w:t>Conclusion</w:t>
      </w:r>
    </w:p>
    <w:p w14:paraId="2AFD6D77" w14:textId="65055F24" w:rsidR="00E0746D" w:rsidRPr="00287BF8" w:rsidRDefault="00E0746D" w:rsidP="00E0746D">
      <w:pPr>
        <w:spacing w:line="480" w:lineRule="auto"/>
        <w:ind w:firstLine="720"/>
        <w:jc w:val="both"/>
        <w:rPr>
          <w:sz w:val="24"/>
          <w:szCs w:val="24"/>
        </w:rPr>
      </w:pPr>
      <w:r w:rsidRPr="00287BF8">
        <w:rPr>
          <w:sz w:val="24"/>
          <w:szCs w:val="24"/>
        </w:rPr>
        <w:t xml:space="preserve">The course has truly become a turning point in my career path. All units presented a new analytical lens through which to focus on leadership, management, and workforce development, and all of them have significantly transformed my conceptualization of the work I do as a Compensation Specialist. </w:t>
      </w:r>
      <w:r w:rsidR="00A90E0A" w:rsidRPr="00A90E0A">
        <w:rPr>
          <w:sz w:val="24"/>
          <w:szCs w:val="24"/>
        </w:rPr>
        <w:t xml:space="preserve">This course has not only provided new knowledge but also transformed my ideas of leading with technical expertise as well as human awareness through theories, case studies, research, and reflective work. By taking ACED 4050, I am armed with a better professional identity, values, and a clear vision of what I </w:t>
      </w:r>
      <w:r w:rsidR="00305825" w:rsidRPr="00A90E0A">
        <w:rPr>
          <w:sz w:val="24"/>
          <w:szCs w:val="24"/>
        </w:rPr>
        <w:t>can</w:t>
      </w:r>
      <w:r w:rsidR="00A90E0A" w:rsidRPr="00A90E0A">
        <w:rPr>
          <w:sz w:val="24"/>
          <w:szCs w:val="24"/>
        </w:rPr>
        <w:t xml:space="preserve"> contribute in the future.</w:t>
      </w:r>
    </w:p>
    <w:p w14:paraId="575D4200" w14:textId="77777777" w:rsidR="00E0746D" w:rsidRPr="00287BF8" w:rsidRDefault="00E0746D" w:rsidP="00E0746D">
      <w:pPr>
        <w:spacing w:line="480" w:lineRule="auto"/>
        <w:rPr>
          <w:b/>
          <w:bCs/>
          <w:sz w:val="24"/>
          <w:szCs w:val="24"/>
        </w:rPr>
      </w:pPr>
      <w:r w:rsidRPr="00287BF8">
        <w:rPr>
          <w:b/>
          <w:bCs/>
          <w:sz w:val="24"/>
          <w:szCs w:val="24"/>
        </w:rPr>
        <w:br w:type="page"/>
      </w:r>
    </w:p>
    <w:p w14:paraId="2FB9D6B0" w14:textId="77777777" w:rsidR="00E0746D" w:rsidRPr="00287BF8" w:rsidRDefault="00E0746D" w:rsidP="00E0746D">
      <w:pPr>
        <w:spacing w:line="480" w:lineRule="auto"/>
        <w:jc w:val="center"/>
        <w:rPr>
          <w:sz w:val="24"/>
          <w:szCs w:val="24"/>
        </w:rPr>
      </w:pPr>
      <w:r w:rsidRPr="00287BF8">
        <w:rPr>
          <w:b/>
          <w:bCs/>
          <w:sz w:val="24"/>
          <w:szCs w:val="24"/>
        </w:rPr>
        <w:lastRenderedPageBreak/>
        <w:t>References</w:t>
      </w:r>
    </w:p>
    <w:p w14:paraId="076DEBDE" w14:textId="77777777" w:rsidR="00E0746D" w:rsidRPr="00287BF8" w:rsidRDefault="00E0746D" w:rsidP="00E0746D">
      <w:pPr>
        <w:spacing w:line="480" w:lineRule="auto"/>
        <w:ind w:left="720" w:hanging="720"/>
        <w:jc w:val="both"/>
        <w:rPr>
          <w:sz w:val="24"/>
          <w:szCs w:val="24"/>
        </w:rPr>
      </w:pPr>
      <w:r w:rsidRPr="00287BF8">
        <w:rPr>
          <w:sz w:val="24"/>
          <w:szCs w:val="24"/>
        </w:rPr>
        <w:t>Alghamdi, O. A., &amp; Agag, G. (2024). Competitive advantage: A longitudinal analysis of the roles of data-driven innovation capabilities, marketing agility, and market turbulence. Journal of Retailing and Consumer Services, 76, 103547. https://doi.org/10.1016/j.jretconser.2023.103547</w:t>
      </w:r>
    </w:p>
    <w:p w14:paraId="1EFE5388" w14:textId="77777777" w:rsidR="00E0746D" w:rsidRPr="00287BF8" w:rsidRDefault="00E0746D" w:rsidP="00E0746D">
      <w:pPr>
        <w:spacing w:line="480" w:lineRule="auto"/>
        <w:ind w:left="720" w:hanging="720"/>
        <w:jc w:val="both"/>
        <w:rPr>
          <w:sz w:val="24"/>
          <w:szCs w:val="24"/>
        </w:rPr>
      </w:pPr>
      <w:r w:rsidRPr="00287BF8">
        <w:rPr>
          <w:sz w:val="24"/>
          <w:szCs w:val="24"/>
        </w:rPr>
        <w:t>Carter, K. M., Smith, A. L., &amp; Johnson, R. T. (2020). Inclusive leadership and employee development: The role of individualized training approaches. Journal of Organizational Behavior, 41(6), 567–582. https://doi.org/10.1002/job.2433</w:t>
      </w:r>
    </w:p>
    <w:p w14:paraId="1DD73E82" w14:textId="77777777" w:rsidR="00E0746D" w:rsidRPr="00287BF8" w:rsidRDefault="00E0746D" w:rsidP="00E0746D">
      <w:pPr>
        <w:spacing w:line="480" w:lineRule="auto"/>
        <w:ind w:left="720" w:hanging="720"/>
        <w:jc w:val="both"/>
        <w:rPr>
          <w:sz w:val="24"/>
          <w:szCs w:val="24"/>
        </w:rPr>
      </w:pPr>
      <w:r w:rsidRPr="00287BF8">
        <w:rPr>
          <w:sz w:val="24"/>
          <w:szCs w:val="24"/>
        </w:rPr>
        <w:t>Kinicki, A., &amp; Soignet, D. B. (2022). Management: A practical introduction (10th ed.). McGraw-Hill Education.</w:t>
      </w:r>
    </w:p>
    <w:p w14:paraId="6585BA3F" w14:textId="77777777" w:rsidR="00E0746D" w:rsidRPr="00287BF8" w:rsidRDefault="00E0746D" w:rsidP="00E0746D">
      <w:pPr>
        <w:spacing w:line="480" w:lineRule="auto"/>
        <w:ind w:left="720" w:hanging="720"/>
        <w:jc w:val="both"/>
        <w:rPr>
          <w:sz w:val="24"/>
          <w:szCs w:val="24"/>
        </w:rPr>
      </w:pPr>
      <w:r w:rsidRPr="00287BF8">
        <w:rPr>
          <w:sz w:val="24"/>
          <w:szCs w:val="24"/>
        </w:rPr>
        <w:t>Perna, L. W., Orosz, K., &amp; Kent, D. C. (2020). The complex role of compensation in promoting equity in higher education. Journal of Higher Education, 91(1), 1–24. https://doi.org/10.1080/00221546.2019.1640480</w:t>
      </w:r>
    </w:p>
    <w:p w14:paraId="5646E57E" w14:textId="77777777" w:rsidR="00E0746D" w:rsidRPr="00287BF8" w:rsidRDefault="00E0746D" w:rsidP="00E0746D">
      <w:pPr>
        <w:spacing w:line="480" w:lineRule="auto"/>
        <w:ind w:left="720" w:hanging="720"/>
        <w:jc w:val="both"/>
        <w:rPr>
          <w:sz w:val="24"/>
          <w:szCs w:val="24"/>
        </w:rPr>
      </w:pPr>
      <w:r w:rsidRPr="00287BF8">
        <w:rPr>
          <w:sz w:val="24"/>
          <w:szCs w:val="24"/>
        </w:rPr>
        <w:t>Sull, D., Sull, C., &amp; Zweig, B. (2022). Toxic culture is driving the great resignation. MIT Sloan Management Review, 63(2), 1–9. https://doi.org/10.7551/mitpress/sloanmgmt.2022.0063</w:t>
      </w:r>
    </w:p>
    <w:p w14:paraId="78DEEE1C" w14:textId="77777777" w:rsidR="00E0746D" w:rsidRPr="00287BF8" w:rsidRDefault="00E0746D" w:rsidP="00E0746D">
      <w:pPr>
        <w:spacing w:line="480" w:lineRule="auto"/>
        <w:ind w:left="720" w:hanging="720"/>
        <w:jc w:val="both"/>
        <w:rPr>
          <w:sz w:val="24"/>
          <w:szCs w:val="24"/>
        </w:rPr>
      </w:pPr>
      <w:r w:rsidRPr="00287BF8">
        <w:rPr>
          <w:sz w:val="24"/>
          <w:szCs w:val="24"/>
        </w:rPr>
        <w:t>Tortorella, G. L., Fogliatto, F. S., &amp; Anzanello, M. J. (2021). The impact of lean and TQM practices on organizational performance. Total Quality Management &amp; Business Excellence, 32(9–10), 1–15. https://doi.org/10.1080/14783363.2019.1696141</w:t>
      </w:r>
    </w:p>
    <w:p w14:paraId="2E65C1C2" w14:textId="77777777" w:rsidR="00E0746D" w:rsidRDefault="00E0746D" w:rsidP="00E0746D">
      <w:pPr>
        <w:spacing w:line="480" w:lineRule="auto"/>
      </w:pPr>
    </w:p>
    <w:sectPr w:rsidR="00E0746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ECD0" w14:textId="77777777" w:rsidR="00794BBE" w:rsidRDefault="00794BBE" w:rsidP="007A2EF3">
      <w:r>
        <w:separator/>
      </w:r>
    </w:p>
  </w:endnote>
  <w:endnote w:type="continuationSeparator" w:id="0">
    <w:p w14:paraId="163DD647" w14:textId="77777777" w:rsidR="00794BBE" w:rsidRDefault="00794BBE" w:rsidP="007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8B5D" w14:textId="77777777" w:rsidR="00794BBE" w:rsidRDefault="00794BBE" w:rsidP="007A2EF3">
      <w:r>
        <w:separator/>
      </w:r>
    </w:p>
  </w:footnote>
  <w:footnote w:type="continuationSeparator" w:id="0">
    <w:p w14:paraId="0FC2E9A9" w14:textId="77777777" w:rsidR="00794BBE" w:rsidRDefault="00794BBE" w:rsidP="007A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371647"/>
      <w:docPartObj>
        <w:docPartGallery w:val="Page Numbers (Top of Page)"/>
        <w:docPartUnique/>
      </w:docPartObj>
    </w:sdtPr>
    <w:sdtEndPr>
      <w:rPr>
        <w:noProof/>
      </w:rPr>
    </w:sdtEndPr>
    <w:sdtContent>
      <w:p w14:paraId="437125D8" w14:textId="6551C7D6" w:rsidR="007A2EF3" w:rsidRDefault="007A2E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94CC33" w14:textId="77777777" w:rsidR="007A2EF3" w:rsidRDefault="007A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0A7E"/>
    <w:multiLevelType w:val="hybridMultilevel"/>
    <w:tmpl w:val="773EE830"/>
    <w:lvl w:ilvl="0" w:tplc="2834AB36">
      <w:start w:val="1"/>
      <w:numFmt w:val="bullet"/>
      <w:lvlText w:val="●"/>
      <w:lvlJc w:val="left"/>
      <w:pPr>
        <w:ind w:left="720" w:hanging="360"/>
      </w:pPr>
    </w:lvl>
    <w:lvl w:ilvl="1" w:tplc="E7204C9A">
      <w:start w:val="1"/>
      <w:numFmt w:val="bullet"/>
      <w:lvlText w:val="○"/>
      <w:lvlJc w:val="left"/>
      <w:pPr>
        <w:ind w:left="1440" w:hanging="360"/>
      </w:pPr>
    </w:lvl>
    <w:lvl w:ilvl="2" w:tplc="078844AC">
      <w:start w:val="1"/>
      <w:numFmt w:val="bullet"/>
      <w:lvlText w:val="■"/>
      <w:lvlJc w:val="left"/>
      <w:pPr>
        <w:ind w:left="2160" w:hanging="360"/>
      </w:pPr>
    </w:lvl>
    <w:lvl w:ilvl="3" w:tplc="E87462EC">
      <w:start w:val="1"/>
      <w:numFmt w:val="bullet"/>
      <w:lvlText w:val="●"/>
      <w:lvlJc w:val="left"/>
      <w:pPr>
        <w:ind w:left="2880" w:hanging="360"/>
      </w:pPr>
    </w:lvl>
    <w:lvl w:ilvl="4" w:tplc="93E8D200">
      <w:start w:val="1"/>
      <w:numFmt w:val="bullet"/>
      <w:lvlText w:val="○"/>
      <w:lvlJc w:val="left"/>
      <w:pPr>
        <w:ind w:left="3600" w:hanging="360"/>
      </w:pPr>
    </w:lvl>
    <w:lvl w:ilvl="5" w:tplc="C9068AC2">
      <w:start w:val="1"/>
      <w:numFmt w:val="bullet"/>
      <w:lvlText w:val="■"/>
      <w:lvlJc w:val="left"/>
      <w:pPr>
        <w:ind w:left="4320" w:hanging="360"/>
      </w:pPr>
    </w:lvl>
    <w:lvl w:ilvl="6" w:tplc="94C02970">
      <w:start w:val="1"/>
      <w:numFmt w:val="bullet"/>
      <w:lvlText w:val="●"/>
      <w:lvlJc w:val="left"/>
      <w:pPr>
        <w:ind w:left="5040" w:hanging="360"/>
      </w:pPr>
    </w:lvl>
    <w:lvl w:ilvl="7" w:tplc="224E672A">
      <w:start w:val="1"/>
      <w:numFmt w:val="bullet"/>
      <w:lvlText w:val="●"/>
      <w:lvlJc w:val="left"/>
      <w:pPr>
        <w:ind w:left="5760" w:hanging="360"/>
      </w:pPr>
    </w:lvl>
    <w:lvl w:ilvl="8" w:tplc="18A26D30">
      <w:start w:val="1"/>
      <w:numFmt w:val="bullet"/>
      <w:lvlText w:val="●"/>
      <w:lvlJc w:val="left"/>
      <w:pPr>
        <w:ind w:left="6480" w:hanging="360"/>
      </w:pPr>
    </w:lvl>
  </w:abstractNum>
  <w:num w:numId="1" w16cid:durableId="302580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NzSyNLYwNjYzMDVS0lEKTi0uzszPAykwrAUAyhyuCSwAAAA="/>
  </w:docVars>
  <w:rsids>
    <w:rsidRoot w:val="00E2429B"/>
    <w:rsid w:val="000219CD"/>
    <w:rsid w:val="00045F12"/>
    <w:rsid w:val="00080DD2"/>
    <w:rsid w:val="0011719D"/>
    <w:rsid w:val="00147E5F"/>
    <w:rsid w:val="0017434D"/>
    <w:rsid w:val="00190F8B"/>
    <w:rsid w:val="002F2E95"/>
    <w:rsid w:val="00305825"/>
    <w:rsid w:val="003370DC"/>
    <w:rsid w:val="003C5840"/>
    <w:rsid w:val="003F697A"/>
    <w:rsid w:val="004348F6"/>
    <w:rsid w:val="004C2A56"/>
    <w:rsid w:val="004F4B35"/>
    <w:rsid w:val="005971CA"/>
    <w:rsid w:val="005F79E4"/>
    <w:rsid w:val="00637DC1"/>
    <w:rsid w:val="006D7776"/>
    <w:rsid w:val="006D7C91"/>
    <w:rsid w:val="00761C98"/>
    <w:rsid w:val="0079141C"/>
    <w:rsid w:val="00794BBE"/>
    <w:rsid w:val="007A2EF3"/>
    <w:rsid w:val="007D4F31"/>
    <w:rsid w:val="00801094"/>
    <w:rsid w:val="00843B07"/>
    <w:rsid w:val="00946917"/>
    <w:rsid w:val="00973CA7"/>
    <w:rsid w:val="00A11133"/>
    <w:rsid w:val="00A90E0A"/>
    <w:rsid w:val="00A93A6A"/>
    <w:rsid w:val="00AE42CF"/>
    <w:rsid w:val="00AF14D6"/>
    <w:rsid w:val="00B33E5B"/>
    <w:rsid w:val="00BB3023"/>
    <w:rsid w:val="00E0746D"/>
    <w:rsid w:val="00E2429B"/>
    <w:rsid w:val="00E32B65"/>
    <w:rsid w:val="00FC0CBB"/>
    <w:rsid w:val="00FD6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E5E0"/>
  <w15:docId w15:val="{E2D69F2E-E383-4588-B60D-D8C0F9B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A2EF3"/>
    <w:pPr>
      <w:tabs>
        <w:tab w:val="center" w:pos="4680"/>
        <w:tab w:val="right" w:pos="9360"/>
      </w:tabs>
    </w:pPr>
  </w:style>
  <w:style w:type="character" w:customStyle="1" w:styleId="HeaderChar">
    <w:name w:val="Header Char"/>
    <w:basedOn w:val="DefaultParagraphFont"/>
    <w:link w:val="Header"/>
    <w:uiPriority w:val="99"/>
    <w:rsid w:val="007A2EF3"/>
  </w:style>
  <w:style w:type="paragraph" w:styleId="Footer">
    <w:name w:val="footer"/>
    <w:basedOn w:val="Normal"/>
    <w:link w:val="FooterChar"/>
    <w:uiPriority w:val="99"/>
    <w:unhideWhenUsed/>
    <w:rsid w:val="007A2EF3"/>
    <w:pPr>
      <w:tabs>
        <w:tab w:val="center" w:pos="4680"/>
        <w:tab w:val="right" w:pos="9360"/>
      </w:tabs>
    </w:pPr>
  </w:style>
  <w:style w:type="character" w:customStyle="1" w:styleId="FooterChar">
    <w:name w:val="Footer Char"/>
    <w:basedOn w:val="DefaultParagraphFont"/>
    <w:link w:val="Footer"/>
    <w:uiPriority w:val="99"/>
    <w:rsid w:val="007A2EF3"/>
  </w:style>
  <w:style w:type="character" w:styleId="CommentReference">
    <w:name w:val="annotation reference"/>
    <w:basedOn w:val="DefaultParagraphFont"/>
    <w:uiPriority w:val="99"/>
    <w:semiHidden/>
    <w:unhideWhenUsed/>
    <w:rsid w:val="002F2E95"/>
    <w:rPr>
      <w:sz w:val="16"/>
      <w:szCs w:val="16"/>
    </w:rPr>
  </w:style>
  <w:style w:type="paragraph" w:styleId="CommentText">
    <w:name w:val="annotation text"/>
    <w:basedOn w:val="Normal"/>
    <w:link w:val="CommentTextChar"/>
    <w:uiPriority w:val="99"/>
    <w:unhideWhenUsed/>
    <w:rsid w:val="002F2E95"/>
  </w:style>
  <w:style w:type="character" w:customStyle="1" w:styleId="CommentTextChar">
    <w:name w:val="Comment Text Char"/>
    <w:basedOn w:val="DefaultParagraphFont"/>
    <w:link w:val="CommentText"/>
    <w:uiPriority w:val="99"/>
    <w:rsid w:val="002F2E95"/>
  </w:style>
  <w:style w:type="paragraph" w:styleId="CommentSubject">
    <w:name w:val="annotation subject"/>
    <w:basedOn w:val="CommentText"/>
    <w:next w:val="CommentText"/>
    <w:link w:val="CommentSubjectChar"/>
    <w:uiPriority w:val="99"/>
    <w:semiHidden/>
    <w:unhideWhenUsed/>
    <w:rsid w:val="002F2E95"/>
    <w:rPr>
      <w:b/>
      <w:bCs/>
    </w:rPr>
  </w:style>
  <w:style w:type="character" w:customStyle="1" w:styleId="CommentSubjectChar">
    <w:name w:val="Comment Subject Char"/>
    <w:basedOn w:val="CommentTextChar"/>
    <w:link w:val="CommentSubject"/>
    <w:uiPriority w:val="99"/>
    <w:semiHidden/>
    <w:rsid w:val="002F2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xyz</cp:lastModifiedBy>
  <cp:revision>2</cp:revision>
  <dcterms:created xsi:type="dcterms:W3CDTF">2026-04-27T13:56:00Z</dcterms:created>
  <dcterms:modified xsi:type="dcterms:W3CDTF">2026-04-27T13:56:00Z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03138f23-b75b-4f02-ab77-74c4d9b735e2</vt:lpwstr>
  </property>
</Properties>
</file>