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F5419" w14:textId="77777777" w:rsidR="00856636" w:rsidRPr="00A639AF" w:rsidRDefault="00856636" w:rsidP="00A639AF">
      <w:pPr>
        <w:spacing w:after="0" w:line="480" w:lineRule="auto"/>
        <w:jc w:val="center"/>
        <w:rPr>
          <w:b/>
          <w:bCs/>
          <w:lang w:val="en-US"/>
        </w:rPr>
      </w:pPr>
    </w:p>
    <w:p w14:paraId="743A0F82" w14:textId="77777777" w:rsidR="00856636" w:rsidRPr="00A639AF" w:rsidRDefault="00856636" w:rsidP="00A639AF">
      <w:pPr>
        <w:spacing w:after="0" w:line="480" w:lineRule="auto"/>
        <w:jc w:val="center"/>
        <w:rPr>
          <w:b/>
          <w:bCs/>
          <w:lang w:val="en-US"/>
        </w:rPr>
      </w:pPr>
    </w:p>
    <w:p w14:paraId="7271D28E" w14:textId="77777777" w:rsidR="00856636" w:rsidRPr="00A639AF" w:rsidRDefault="00856636" w:rsidP="00A639AF">
      <w:pPr>
        <w:spacing w:after="0" w:line="480" w:lineRule="auto"/>
        <w:jc w:val="center"/>
        <w:rPr>
          <w:b/>
          <w:bCs/>
          <w:lang w:val="en-US"/>
        </w:rPr>
      </w:pPr>
    </w:p>
    <w:p w14:paraId="13A773D2" w14:textId="77777777" w:rsidR="00856636" w:rsidRPr="00A639AF" w:rsidRDefault="00856636" w:rsidP="00A639AF">
      <w:pPr>
        <w:spacing w:after="0" w:line="480" w:lineRule="auto"/>
        <w:jc w:val="center"/>
        <w:rPr>
          <w:b/>
          <w:bCs/>
          <w:lang w:val="en-US"/>
        </w:rPr>
      </w:pPr>
    </w:p>
    <w:p w14:paraId="1A12F7DD" w14:textId="1302C7BA" w:rsidR="00856636" w:rsidRPr="00A639AF" w:rsidRDefault="007D2CFF" w:rsidP="00A639AF">
      <w:pPr>
        <w:spacing w:after="0" w:line="480" w:lineRule="auto"/>
        <w:contextualSpacing/>
        <w:jc w:val="center"/>
        <w:rPr>
          <w:lang w:val="en-US"/>
        </w:rPr>
      </w:pPr>
      <w:r w:rsidRPr="00A639AF">
        <w:rPr>
          <w:lang w:val="en-US"/>
        </w:rPr>
        <w:t xml:space="preserve"> </w:t>
      </w:r>
    </w:p>
    <w:p w14:paraId="6763831A" w14:textId="4BE1A00B" w:rsidR="007D2CFF" w:rsidRPr="00A639AF" w:rsidRDefault="007D2CFF" w:rsidP="00A639AF">
      <w:pPr>
        <w:spacing w:after="0" w:line="480" w:lineRule="auto"/>
      </w:pPr>
      <w:r w:rsidRPr="00A639AF">
        <w:t xml:space="preserve">Why Are Global Value Chains So Important </w:t>
      </w:r>
      <w:proofErr w:type="gramStart"/>
      <w:r w:rsidRPr="00A639AF">
        <w:t>To</w:t>
      </w:r>
      <w:proofErr w:type="gramEnd"/>
      <w:r w:rsidRPr="00A639AF">
        <w:t xml:space="preserve"> Emerging Markets </w:t>
      </w:r>
      <w:proofErr w:type="gramStart"/>
      <w:r w:rsidRPr="00A639AF">
        <w:t>And</w:t>
      </w:r>
      <w:proofErr w:type="gramEnd"/>
      <w:r w:rsidRPr="00A639AF">
        <w:t xml:space="preserve"> Their Development?</w:t>
      </w:r>
    </w:p>
    <w:p w14:paraId="6FA9632B" w14:textId="77777777" w:rsidR="007D2CFF" w:rsidRPr="00A639AF" w:rsidRDefault="007D2CFF" w:rsidP="00A639AF">
      <w:pPr>
        <w:tabs>
          <w:tab w:val="left" w:pos="4136"/>
        </w:tabs>
        <w:spacing w:after="0" w:line="480" w:lineRule="auto"/>
        <w:jc w:val="center"/>
      </w:pPr>
      <w:r w:rsidRPr="00A639AF">
        <w:t>Name of Student</w:t>
      </w:r>
    </w:p>
    <w:p w14:paraId="6D09B423" w14:textId="00A19AC8" w:rsidR="007D2CFF" w:rsidRPr="00A639AF" w:rsidRDefault="007D2CFF" w:rsidP="00EE5881">
      <w:pPr>
        <w:tabs>
          <w:tab w:val="left" w:pos="4136"/>
        </w:tabs>
        <w:spacing w:after="0" w:line="480" w:lineRule="auto"/>
        <w:jc w:val="center"/>
        <w:rPr>
          <w:b/>
          <w:bCs/>
        </w:rPr>
      </w:pPr>
      <w:r w:rsidRPr="00A639AF">
        <w:t>[Name of the Institution]</w:t>
      </w:r>
    </w:p>
    <w:p w14:paraId="02131703" w14:textId="77777777" w:rsidR="00EE5881" w:rsidRDefault="00EE5881">
      <w:r>
        <w:br w:type="page"/>
      </w:r>
    </w:p>
    <w:p w14:paraId="3B49CB3B" w14:textId="52BB9A16" w:rsidR="00657D35" w:rsidRPr="00A639AF" w:rsidRDefault="00231172" w:rsidP="00A639AF">
      <w:pPr>
        <w:spacing w:after="0" w:line="480" w:lineRule="auto"/>
        <w:jc w:val="center"/>
      </w:pPr>
      <w:r w:rsidRPr="00A639AF">
        <w:lastRenderedPageBreak/>
        <w:t xml:space="preserve">Why </w:t>
      </w:r>
      <w:r w:rsidR="004B29E7" w:rsidRPr="00A639AF">
        <w:t xml:space="preserve">Are Global Value Chains So Important </w:t>
      </w:r>
      <w:proofErr w:type="gramStart"/>
      <w:r w:rsidR="004B29E7" w:rsidRPr="00A639AF">
        <w:t>To</w:t>
      </w:r>
      <w:proofErr w:type="gramEnd"/>
      <w:r w:rsidR="004B29E7" w:rsidRPr="00A639AF">
        <w:t xml:space="preserve"> Emerging Markets </w:t>
      </w:r>
      <w:proofErr w:type="gramStart"/>
      <w:r w:rsidR="004B29E7" w:rsidRPr="00A639AF">
        <w:t>And</w:t>
      </w:r>
      <w:proofErr w:type="gramEnd"/>
      <w:r w:rsidR="004B29E7" w:rsidRPr="00A639AF">
        <w:t xml:space="preserve"> Their Development?</w:t>
      </w:r>
    </w:p>
    <w:p w14:paraId="77B1E477" w14:textId="77777777" w:rsidR="007D2CFF" w:rsidRPr="00A639AF" w:rsidRDefault="007D2CFF" w:rsidP="00A639AF">
      <w:pPr>
        <w:spacing w:after="0" w:line="480" w:lineRule="auto"/>
        <w:jc w:val="both"/>
        <w:rPr>
          <w:b/>
          <w:bCs/>
          <w:i/>
          <w:iCs/>
          <w:color w:val="000000" w:themeColor="text1"/>
        </w:rPr>
      </w:pPr>
    </w:p>
    <w:p w14:paraId="7F65F93B" w14:textId="5041644E" w:rsidR="007D2CFF" w:rsidRPr="00A639AF" w:rsidRDefault="007D2CFF" w:rsidP="00A639AF">
      <w:pPr>
        <w:spacing w:after="0" w:line="480" w:lineRule="auto"/>
        <w:jc w:val="both"/>
        <w:rPr>
          <w:b/>
          <w:bCs/>
          <w:i/>
          <w:iCs/>
          <w:color w:val="000000" w:themeColor="text1"/>
        </w:rPr>
      </w:pPr>
      <w:r w:rsidRPr="00A639AF">
        <w:rPr>
          <w:b/>
          <w:bCs/>
          <w:i/>
          <w:iCs/>
          <w:color w:val="000000" w:themeColor="text1"/>
        </w:rPr>
        <w:t>Introduction</w:t>
      </w:r>
    </w:p>
    <w:p w14:paraId="6E887985" w14:textId="46B87C3B" w:rsidR="007D2CFF" w:rsidRPr="00A639AF" w:rsidRDefault="007D2CFF" w:rsidP="00A639AF">
      <w:pPr>
        <w:spacing w:after="0" w:line="480" w:lineRule="auto"/>
        <w:ind w:firstLine="720"/>
        <w:jc w:val="both"/>
        <w:rPr>
          <w:color w:val="000000" w:themeColor="text1"/>
        </w:rPr>
      </w:pPr>
      <w:r w:rsidRPr="00A639AF">
        <w:rPr>
          <w:color w:val="000000" w:themeColor="text1"/>
        </w:rPr>
        <w:t>Global Value Chains (GVCs) have essentially replaced the configuration of global trade. Rather than simply exchanging finished goods, countries now participate in fragmented, cross-border production systems where stages—from design to distribution—are dispersed across multiple locations (</w:t>
      </w:r>
      <w:proofErr w:type="spellStart"/>
      <w:r w:rsidRPr="00A639AF">
        <w:rPr>
          <w:color w:val="000000" w:themeColor="text1"/>
        </w:rPr>
        <w:t>Gereffi</w:t>
      </w:r>
      <w:proofErr w:type="spellEnd"/>
      <w:r w:rsidRPr="00A639AF">
        <w:rPr>
          <w:color w:val="000000" w:themeColor="text1"/>
        </w:rPr>
        <w:t>, 1994; Dicken, 2011). Therefore, integration presents major opportunities and threats to the emerging economies. On the one hand, GVCs lead to quick industrialisation as countries can enter existing production networks. Conversely, they can entrap firms in their low-value assembly positions that have lower upgrading possibilities. Consequently, GVC participation does not necessarily affect development, but rather it relies on the governance frameworks, firm policy, and state policies. This report, therefore, presents the concept of GVC and the nature of governance in the first section, considers the examples of apparel (Nike-Vietnam) and automotive (Volkswagen-Mexico) companies in the subsequent section, and finally, provides a summary of the policy implications and suggestions</w:t>
      </w:r>
      <w:r w:rsidRPr="00A639AF">
        <w:rPr>
          <w:rFonts w:eastAsia="Arial"/>
          <w:color w:val="000000" w:themeColor="text1"/>
        </w:rPr>
        <w:t>.</w:t>
      </w:r>
    </w:p>
    <w:p w14:paraId="6CEAF2B8" w14:textId="77777777" w:rsidR="007D2CFF" w:rsidRPr="00A639AF" w:rsidRDefault="007D2CFF" w:rsidP="00A639AF">
      <w:pPr>
        <w:pStyle w:val="Heading1"/>
        <w:spacing w:before="0" w:line="480" w:lineRule="auto"/>
        <w:rPr>
          <w:rFonts w:ascii="Times New Roman" w:eastAsia="Arial" w:hAnsi="Times New Roman" w:cs="Times New Roman"/>
          <w:b/>
          <w:bCs/>
          <w:i/>
          <w:iCs/>
          <w:color w:val="000000" w:themeColor="text1"/>
          <w:sz w:val="24"/>
          <w:szCs w:val="24"/>
        </w:rPr>
      </w:pPr>
    </w:p>
    <w:p w14:paraId="04AACC55" w14:textId="1A91F82F" w:rsidR="007D2CFF" w:rsidRPr="00A639AF" w:rsidRDefault="007D2CFF" w:rsidP="00A639AF">
      <w:pPr>
        <w:pStyle w:val="Heading1"/>
        <w:spacing w:before="0" w:line="480" w:lineRule="auto"/>
        <w:rPr>
          <w:rFonts w:ascii="Times New Roman" w:hAnsi="Times New Roman" w:cs="Times New Roman"/>
          <w:i/>
          <w:iCs/>
          <w:color w:val="000000" w:themeColor="text1"/>
          <w:sz w:val="24"/>
          <w:szCs w:val="24"/>
        </w:rPr>
      </w:pPr>
      <w:proofErr w:type="gramStart"/>
      <w:r w:rsidRPr="00A639AF">
        <w:rPr>
          <w:rFonts w:ascii="Times New Roman" w:eastAsia="Arial" w:hAnsi="Times New Roman" w:cs="Times New Roman"/>
          <w:b/>
          <w:bCs/>
          <w:i/>
          <w:iCs/>
          <w:color w:val="000000" w:themeColor="text1"/>
          <w:sz w:val="24"/>
          <w:szCs w:val="24"/>
        </w:rPr>
        <w:t>2.1  GVCs</w:t>
      </w:r>
      <w:proofErr w:type="gramEnd"/>
      <w:r w:rsidRPr="00A639AF">
        <w:rPr>
          <w:rFonts w:ascii="Times New Roman" w:eastAsia="Arial" w:hAnsi="Times New Roman" w:cs="Times New Roman"/>
          <w:b/>
          <w:bCs/>
          <w:i/>
          <w:iCs/>
          <w:color w:val="000000" w:themeColor="text1"/>
          <w:sz w:val="24"/>
          <w:szCs w:val="24"/>
        </w:rPr>
        <w:t xml:space="preserve"> and Literature Review</w:t>
      </w:r>
    </w:p>
    <w:p w14:paraId="276D8F0E" w14:textId="77777777" w:rsidR="007D2CFF" w:rsidRPr="00A639AF" w:rsidRDefault="007D2CFF" w:rsidP="00A639AF">
      <w:pPr>
        <w:pStyle w:val="Heading2"/>
        <w:spacing w:before="0" w:beforeAutospacing="0" w:after="0" w:afterAutospacing="0" w:line="480" w:lineRule="auto"/>
        <w:rPr>
          <w:b w:val="0"/>
          <w:bCs w:val="0"/>
          <w:i/>
          <w:iCs/>
          <w:color w:val="000000" w:themeColor="text1"/>
          <w:sz w:val="24"/>
          <w:szCs w:val="24"/>
        </w:rPr>
      </w:pPr>
      <w:r w:rsidRPr="00A639AF">
        <w:rPr>
          <w:rFonts w:eastAsia="Arial"/>
          <w:b w:val="0"/>
          <w:bCs w:val="0"/>
          <w:i/>
          <w:iCs/>
          <w:color w:val="000000" w:themeColor="text1"/>
          <w:sz w:val="24"/>
          <w:szCs w:val="24"/>
        </w:rPr>
        <w:t>The Global Value Chain Conceptual Framework</w:t>
      </w:r>
    </w:p>
    <w:p w14:paraId="3115CC13" w14:textId="77777777" w:rsidR="007D2CFF" w:rsidRPr="00A639AF" w:rsidRDefault="007D2CFF" w:rsidP="00A639AF">
      <w:pPr>
        <w:pStyle w:val="Heading2"/>
        <w:spacing w:before="0" w:beforeAutospacing="0" w:after="0" w:afterAutospacing="0" w:line="480" w:lineRule="auto"/>
        <w:ind w:firstLine="720"/>
        <w:rPr>
          <w:b w:val="0"/>
          <w:bCs w:val="0"/>
          <w:color w:val="000000" w:themeColor="text1"/>
          <w:sz w:val="24"/>
          <w:szCs w:val="24"/>
        </w:rPr>
      </w:pPr>
      <w:r w:rsidRPr="00A639AF">
        <w:rPr>
          <w:b w:val="0"/>
          <w:bCs w:val="0"/>
          <w:color w:val="000000" w:themeColor="text1"/>
          <w:sz w:val="24"/>
          <w:szCs w:val="24"/>
        </w:rPr>
        <w:t xml:space="preserve">GVCs refer to the total collection of activities, including design, sourcing raw materials, production, distribution, and after-sales service, that it takes to take a product to the end-user, with each activity possibly being situated in a different country (Gereffi, 1994; Dicken, 2011). The classical theory of trade concerned the exchange of finished goods; the GVC theory, in turn, attracts interest in the unbundling of production into discrete and tradeable activities. This unbundling cannot be reduced to geographic fragmentation; it is a functionally structured and coordinated system that is, in general, coordinated by a few </w:t>
      </w:r>
      <w:r w:rsidRPr="00A639AF">
        <w:rPr>
          <w:b w:val="0"/>
          <w:bCs w:val="0"/>
          <w:color w:val="000000" w:themeColor="text1"/>
          <w:sz w:val="24"/>
          <w:szCs w:val="24"/>
        </w:rPr>
        <w:lastRenderedPageBreak/>
        <w:t>powerful leading firms that have the determination of product specifications, standardizations, and the distribution of duties throughout the chain (Gereffi, 2019).</w:t>
      </w:r>
    </w:p>
    <w:p w14:paraId="2C42D363" w14:textId="77777777" w:rsidR="007D2CFF" w:rsidRPr="00A639AF" w:rsidRDefault="007D2CFF" w:rsidP="00A639AF">
      <w:pPr>
        <w:pStyle w:val="Heading2"/>
        <w:spacing w:before="0" w:beforeAutospacing="0" w:after="0" w:afterAutospacing="0" w:line="480" w:lineRule="auto"/>
        <w:ind w:firstLine="720"/>
        <w:rPr>
          <w:b w:val="0"/>
          <w:bCs w:val="0"/>
          <w:color w:val="000000" w:themeColor="text1"/>
          <w:sz w:val="24"/>
          <w:szCs w:val="24"/>
        </w:rPr>
      </w:pPr>
      <w:r w:rsidRPr="00A639AF">
        <w:rPr>
          <w:b w:val="0"/>
          <w:bCs w:val="0"/>
          <w:color w:val="000000" w:themeColor="text1"/>
          <w:sz w:val="24"/>
          <w:szCs w:val="24"/>
        </w:rPr>
        <w:t>This structure is important in the case of firms operating in developing economies, where it is not necessary to develop all stages of production alone. In fact, a supplier can enter into the chain at the assembly level and, by engaging in interaction with the lead firms, build capabilities over time. This learning-by-doing is among the most important mechanisms through which GVC participation can bring economic development (Bamber et al., 2014). Meanwhile, the liability of foreignness, or the drawback that companies have to encounter because of functioning in a strange institutional setting, is partially avoided in situations when a lead company is well developed to offer technical aid, quality standards, and entry to the market (Soundararajan, Khan, and Tarba, 2018).</w:t>
      </w:r>
    </w:p>
    <w:p w14:paraId="063BA1A0" w14:textId="77777777" w:rsidR="007D2CFF" w:rsidRPr="00A639AF" w:rsidRDefault="007D2CFF" w:rsidP="00A639AF">
      <w:pPr>
        <w:pStyle w:val="Heading2"/>
        <w:spacing w:before="0" w:beforeAutospacing="0" w:after="0" w:afterAutospacing="0" w:line="480" w:lineRule="auto"/>
        <w:ind w:firstLine="720"/>
        <w:rPr>
          <w:b w:val="0"/>
          <w:bCs w:val="0"/>
          <w:color w:val="000000" w:themeColor="text1"/>
          <w:sz w:val="24"/>
          <w:szCs w:val="24"/>
        </w:rPr>
      </w:pPr>
    </w:p>
    <w:p w14:paraId="1AB458AE" w14:textId="77777777" w:rsidR="007D2CFF" w:rsidRPr="00A639AF" w:rsidRDefault="007D2CFF" w:rsidP="00A639AF">
      <w:pPr>
        <w:pStyle w:val="Heading2"/>
        <w:spacing w:before="0" w:beforeAutospacing="0" w:after="0" w:afterAutospacing="0" w:line="480" w:lineRule="auto"/>
        <w:rPr>
          <w:b w:val="0"/>
          <w:bCs w:val="0"/>
          <w:i/>
          <w:iCs/>
          <w:color w:val="000000" w:themeColor="text1"/>
          <w:sz w:val="24"/>
          <w:szCs w:val="24"/>
        </w:rPr>
      </w:pPr>
      <w:r w:rsidRPr="00A639AF">
        <w:rPr>
          <w:rFonts w:eastAsia="Arial"/>
          <w:b w:val="0"/>
          <w:bCs w:val="0"/>
          <w:i/>
          <w:iCs/>
          <w:color w:val="000000" w:themeColor="text1"/>
          <w:sz w:val="24"/>
          <w:szCs w:val="24"/>
        </w:rPr>
        <w:t>Typologies of Governance: Buyer-Driven and Producer-Driven Chains</w:t>
      </w:r>
    </w:p>
    <w:p w14:paraId="13BACB47" w14:textId="77777777" w:rsidR="007D2CFF" w:rsidRPr="00A639AF" w:rsidRDefault="007D2CFF" w:rsidP="00A639AF">
      <w:pPr>
        <w:spacing w:after="0" w:line="480" w:lineRule="auto"/>
        <w:ind w:firstLine="720"/>
        <w:jc w:val="both"/>
        <w:rPr>
          <w:color w:val="000000" w:themeColor="text1"/>
        </w:rPr>
      </w:pPr>
      <w:r w:rsidRPr="00A639AF">
        <w:rPr>
          <w:color w:val="000000" w:themeColor="text1"/>
        </w:rPr>
        <w:t xml:space="preserve">There are two main forms of governance outlined in the literature that determine the distribution of value along a chain. The automobile and aerospace industries are the capital- and technology-intensive ones that have producer-based chains (Sturgeon and Van </w:t>
      </w:r>
      <w:proofErr w:type="spellStart"/>
      <w:r w:rsidRPr="00A639AF">
        <w:rPr>
          <w:color w:val="000000" w:themeColor="text1"/>
        </w:rPr>
        <w:t>Biesebroeck</w:t>
      </w:r>
      <w:proofErr w:type="spellEnd"/>
      <w:r w:rsidRPr="00A639AF">
        <w:rPr>
          <w:color w:val="000000" w:themeColor="text1"/>
        </w:rPr>
        <w:t>, 2011). These networks are dominated by big transnational corporations (TNCs), which exercise control over the chain due to proprietary technology, large-scale R&amp;D programmes, and economies of scale. The technological nature of inputs states that there are high entry barriers: the local suppliers are required to show high levels of absorptive capacity before gaining membership to the chain (Dicken, 2011).</w:t>
      </w:r>
    </w:p>
    <w:p w14:paraId="71495955" w14:textId="25F506C5" w:rsidR="007D2CFF" w:rsidRPr="00A639AF" w:rsidRDefault="007D2CFF" w:rsidP="00A639AF">
      <w:pPr>
        <w:spacing w:after="0" w:line="480" w:lineRule="auto"/>
        <w:ind w:firstLine="720"/>
        <w:jc w:val="both"/>
        <w:rPr>
          <w:rFonts w:eastAsia="Arial"/>
          <w:color w:val="000000" w:themeColor="text1"/>
        </w:rPr>
      </w:pPr>
      <w:r w:rsidRPr="00A639AF">
        <w:rPr>
          <w:color w:val="000000" w:themeColor="text1"/>
        </w:rPr>
        <w:t>In contrast, the buyout chains control the labour-intensive goods related to consumerism, which include garments, shoes, and toys (</w:t>
      </w:r>
      <w:proofErr w:type="spellStart"/>
      <w:r w:rsidRPr="00A639AF">
        <w:rPr>
          <w:color w:val="000000" w:themeColor="text1"/>
        </w:rPr>
        <w:t>Gereffi</w:t>
      </w:r>
      <w:proofErr w:type="spellEnd"/>
      <w:r w:rsidRPr="00A639AF">
        <w:rPr>
          <w:color w:val="000000" w:themeColor="text1"/>
        </w:rPr>
        <w:t xml:space="preserve">, 1994). A large retailer or a brand owner (such as Nike or Walmart) outsources all physical production to independent contractors in low-wage countries but retains a high-value portion of the business, such as </w:t>
      </w:r>
      <w:r w:rsidRPr="00A639AF">
        <w:rPr>
          <w:color w:val="000000" w:themeColor="text1"/>
        </w:rPr>
        <w:lastRenderedPageBreak/>
        <w:t xml:space="preserve">design, branding, and marketing, is often known as a lead firm in this model. The barriers to entry are relatively modest, yet this openness demands a cost: the rivalry between suppliers is highly intense, pressure on wages is suffered, and the orders repeatedly shift to find relatively inexpensive options, resulting in a so-called race to the bottom in labour and environmental regulations, as </w:t>
      </w:r>
      <w:proofErr w:type="spellStart"/>
      <w:r w:rsidRPr="00A639AF">
        <w:rPr>
          <w:color w:val="000000" w:themeColor="text1"/>
        </w:rPr>
        <w:t>Gereffi</w:t>
      </w:r>
      <w:proofErr w:type="spellEnd"/>
      <w:r w:rsidRPr="00A639AF">
        <w:rPr>
          <w:color w:val="000000" w:themeColor="text1"/>
        </w:rPr>
        <w:t xml:space="preserve"> (2019) terms it</w:t>
      </w:r>
      <w:r w:rsidRPr="00A639AF">
        <w:rPr>
          <w:rFonts w:eastAsia="Arial"/>
          <w:color w:val="000000" w:themeColor="text1"/>
        </w:rPr>
        <w:t>.</w:t>
      </w:r>
    </w:p>
    <w:p w14:paraId="6CBBCADF" w14:textId="77777777" w:rsidR="007D2CFF" w:rsidRPr="00A639AF" w:rsidRDefault="007D2CFF" w:rsidP="00A639AF">
      <w:pPr>
        <w:spacing w:after="0" w:line="480" w:lineRule="auto"/>
        <w:ind w:firstLine="720"/>
        <w:jc w:val="both"/>
        <w:rPr>
          <w:rFonts w:eastAsia="Arial"/>
          <w:color w:val="000000" w:themeColor="text1"/>
        </w:rPr>
      </w:pPr>
    </w:p>
    <w:p w14:paraId="45C1B2B1" w14:textId="77777777" w:rsidR="007D2CFF" w:rsidRPr="00A639AF" w:rsidRDefault="007D2CFF" w:rsidP="00A639AF">
      <w:pPr>
        <w:pStyle w:val="Heading2"/>
        <w:spacing w:before="0" w:beforeAutospacing="0" w:after="0" w:afterAutospacing="0" w:line="480" w:lineRule="auto"/>
        <w:rPr>
          <w:b w:val="0"/>
          <w:bCs w:val="0"/>
          <w:i/>
          <w:iCs/>
          <w:color w:val="000000" w:themeColor="text1"/>
          <w:sz w:val="24"/>
          <w:szCs w:val="24"/>
        </w:rPr>
      </w:pPr>
      <w:r w:rsidRPr="00A639AF">
        <w:rPr>
          <w:rFonts w:eastAsia="Arial"/>
          <w:b w:val="0"/>
          <w:bCs w:val="0"/>
          <w:i/>
          <w:iCs/>
          <w:color w:val="000000" w:themeColor="text1"/>
          <w:sz w:val="24"/>
          <w:szCs w:val="24"/>
        </w:rPr>
        <w:t>The Literature on the Impacts of GVC Participation</w:t>
      </w:r>
    </w:p>
    <w:p w14:paraId="32F1171B" w14:textId="7B62AF64" w:rsidR="007D2CFF" w:rsidRPr="00A639AF" w:rsidRDefault="007D2CFF" w:rsidP="00A639AF">
      <w:pPr>
        <w:spacing w:after="0" w:line="480" w:lineRule="auto"/>
        <w:ind w:firstLine="720"/>
        <w:jc w:val="both"/>
        <w:rPr>
          <w:color w:val="000000" w:themeColor="text1"/>
        </w:rPr>
      </w:pPr>
      <w:r w:rsidRPr="00A639AF">
        <w:rPr>
          <w:color w:val="000000" w:themeColor="text1"/>
        </w:rPr>
        <w:t xml:space="preserve">GVC integration provides new markets with faster access to the world trade, flows of foreign direct investment (FDI) and firm level of learning without the need to build a full industrial base independently (Bamber et al., 2014). Involvement imposes pressures on local suppliers to improve their operational procedures to attain global quality and that is likely to create an </w:t>
      </w:r>
      <w:proofErr w:type="gramStart"/>
      <w:r w:rsidRPr="00A639AF">
        <w:rPr>
          <w:color w:val="000000" w:themeColor="text1"/>
        </w:rPr>
        <w:t>innovation spillovers</w:t>
      </w:r>
      <w:proofErr w:type="gramEnd"/>
      <w:r w:rsidRPr="00A639AF">
        <w:rPr>
          <w:color w:val="000000" w:themeColor="text1"/>
        </w:rPr>
        <w:t xml:space="preserve"> beyond the fully integrated firms (Gereffi, 2019). Digital technologies related to Industry 4.0 enhance these advantages even more through transparency in supply chains, waste management, and accessibility of small firms to international buyers at a cheaper cost (</w:t>
      </w:r>
      <w:proofErr w:type="spellStart"/>
      <w:r w:rsidRPr="00A639AF">
        <w:rPr>
          <w:color w:val="000000" w:themeColor="text1"/>
        </w:rPr>
        <w:t>Nyagadza</w:t>
      </w:r>
      <w:proofErr w:type="spellEnd"/>
      <w:r w:rsidRPr="00A639AF">
        <w:rPr>
          <w:color w:val="000000" w:themeColor="text1"/>
        </w:rPr>
        <w:t xml:space="preserve"> et al., 2022).</w:t>
      </w:r>
    </w:p>
    <w:p w14:paraId="66103003" w14:textId="658FFF49" w:rsidR="007D2CFF" w:rsidRPr="00A639AF" w:rsidRDefault="007D2CFF" w:rsidP="00A639AF">
      <w:pPr>
        <w:spacing w:after="0" w:line="480" w:lineRule="auto"/>
        <w:ind w:firstLine="720"/>
        <w:jc w:val="both"/>
        <w:rPr>
          <w:color w:val="000000" w:themeColor="text1"/>
        </w:rPr>
      </w:pPr>
      <w:r w:rsidRPr="00A639AF">
        <w:rPr>
          <w:color w:val="000000" w:themeColor="text1"/>
        </w:rPr>
        <w:t xml:space="preserve">The literature, however, alerts to what Riccio, Dosi, and </w:t>
      </w:r>
      <w:proofErr w:type="spellStart"/>
      <w:r w:rsidRPr="00A639AF">
        <w:rPr>
          <w:color w:val="000000" w:themeColor="text1"/>
        </w:rPr>
        <w:t>Virgillito</w:t>
      </w:r>
      <w:proofErr w:type="spellEnd"/>
      <w:r w:rsidRPr="00A639AF">
        <w:rPr>
          <w:color w:val="000000" w:themeColor="text1"/>
        </w:rPr>
        <w:t xml:space="preserve"> (2025) refer to as functional specialisation traps, whereby companies in the emerging markets end up being trapped in low-margin assembly operations yet fail to build the capabilities needed to upgrade the value chain. Moreover, </w:t>
      </w:r>
      <w:proofErr w:type="spellStart"/>
      <w:r w:rsidRPr="00A639AF">
        <w:rPr>
          <w:color w:val="000000" w:themeColor="text1"/>
        </w:rPr>
        <w:t>Soundarararajan</w:t>
      </w:r>
      <w:proofErr w:type="spellEnd"/>
      <w:r w:rsidRPr="00A639AF">
        <w:rPr>
          <w:color w:val="000000" w:themeColor="text1"/>
        </w:rPr>
        <w:t xml:space="preserve"> et al. (2018) pointed out that there is a decisive difference between economic upgrading (measured by the increase in productivity and export growth) and social upgrading (which includes the increase in wages, job security, and labour rights). Notably, these transformations may not always be interconnected; improvements in the performance of the firm may coincide with no further advancement or even worsening the situation among the workers. Furthermore, these challenges are exacerbated by climate-related externalities. For example, Sun et al. (2024) reveal that high-temperature events create a </w:t>
      </w:r>
      <w:r w:rsidRPr="00A639AF">
        <w:rPr>
          <w:color w:val="000000" w:themeColor="text1"/>
        </w:rPr>
        <w:lastRenderedPageBreak/>
        <w:t xml:space="preserve">disproportionate rise in production costs in labour-intensive industries in the global south. Moreover, recent COVID-19-related disruptions, as well as growing geopolitical tension, highlighted the weakness and frailty of well-linked global value chains (Qin et al., 2023; Panwar, </w:t>
      </w:r>
      <w:proofErr w:type="spellStart"/>
      <w:r w:rsidRPr="00A639AF">
        <w:rPr>
          <w:color w:val="000000" w:themeColor="text1"/>
        </w:rPr>
        <w:t>Pinkse</w:t>
      </w:r>
      <w:proofErr w:type="spellEnd"/>
      <w:r w:rsidRPr="00A639AF">
        <w:rPr>
          <w:color w:val="000000" w:themeColor="text1"/>
        </w:rPr>
        <w:t>, and De Marchi, 2022).</w:t>
      </w:r>
    </w:p>
    <w:p w14:paraId="4E76B5C2" w14:textId="77777777" w:rsidR="007D2CFF" w:rsidRPr="00A639AF" w:rsidRDefault="007D2CFF" w:rsidP="00A639AF">
      <w:pPr>
        <w:spacing w:after="0" w:line="480" w:lineRule="auto"/>
        <w:ind w:firstLine="720"/>
        <w:jc w:val="both"/>
        <w:rPr>
          <w:color w:val="000000" w:themeColor="text1"/>
        </w:rPr>
      </w:pPr>
    </w:p>
    <w:p w14:paraId="160ECEB1" w14:textId="77777777" w:rsidR="007D2CFF" w:rsidRPr="00A639AF" w:rsidRDefault="007D2CFF" w:rsidP="00A639AF">
      <w:pPr>
        <w:pStyle w:val="Heading1"/>
        <w:spacing w:before="0" w:line="480" w:lineRule="auto"/>
        <w:rPr>
          <w:rFonts w:ascii="Times New Roman" w:hAnsi="Times New Roman" w:cs="Times New Roman"/>
          <w:i/>
          <w:iCs/>
          <w:color w:val="000000" w:themeColor="text1"/>
          <w:sz w:val="24"/>
          <w:szCs w:val="24"/>
        </w:rPr>
      </w:pPr>
      <w:proofErr w:type="gramStart"/>
      <w:r w:rsidRPr="00A639AF">
        <w:rPr>
          <w:rFonts w:ascii="Times New Roman" w:eastAsia="Arial" w:hAnsi="Times New Roman" w:cs="Times New Roman"/>
          <w:b/>
          <w:bCs/>
          <w:i/>
          <w:iCs/>
          <w:color w:val="000000" w:themeColor="text1"/>
          <w:sz w:val="24"/>
          <w:szCs w:val="24"/>
        </w:rPr>
        <w:t>2.2  GVC</w:t>
      </w:r>
      <w:proofErr w:type="gramEnd"/>
      <w:r w:rsidRPr="00A639AF">
        <w:rPr>
          <w:rFonts w:ascii="Times New Roman" w:eastAsia="Arial" w:hAnsi="Times New Roman" w:cs="Times New Roman"/>
          <w:b/>
          <w:bCs/>
          <w:i/>
          <w:iCs/>
          <w:color w:val="000000" w:themeColor="text1"/>
          <w:sz w:val="24"/>
          <w:szCs w:val="24"/>
        </w:rPr>
        <w:t xml:space="preserve"> 1: The Apparel Industry — Nike (Buyer-Driven)</w:t>
      </w:r>
    </w:p>
    <w:p w14:paraId="511C097B" w14:textId="77777777" w:rsidR="007D2CFF" w:rsidRPr="00A639AF" w:rsidRDefault="007D2CFF" w:rsidP="00A639AF">
      <w:pPr>
        <w:pStyle w:val="Heading2"/>
        <w:spacing w:before="0" w:beforeAutospacing="0" w:after="0" w:afterAutospacing="0" w:line="480" w:lineRule="auto"/>
        <w:ind w:firstLine="720"/>
        <w:rPr>
          <w:b w:val="0"/>
          <w:bCs w:val="0"/>
          <w:color w:val="000000" w:themeColor="text1"/>
          <w:sz w:val="24"/>
          <w:szCs w:val="24"/>
        </w:rPr>
      </w:pPr>
      <w:r w:rsidRPr="00A639AF">
        <w:rPr>
          <w:b w:val="0"/>
          <w:bCs w:val="0"/>
          <w:color w:val="000000" w:themeColor="text1"/>
          <w:sz w:val="24"/>
          <w:szCs w:val="24"/>
        </w:rPr>
        <w:t>The canonical example of a buyer-driven GVC is the apparel industry. Its value curve is of a typical smile shape where pre-production activities (R&amp;D and design) and post-production activities (branding and retail) take the biggest proportion of value generated, and the manufacturing phase takes the least proportion of the value added.</w:t>
      </w:r>
    </w:p>
    <w:p w14:paraId="7D674021" w14:textId="77777777" w:rsidR="007D2CFF" w:rsidRPr="00A639AF" w:rsidRDefault="007D2CFF" w:rsidP="00A639AF">
      <w:pPr>
        <w:pStyle w:val="Heading2"/>
        <w:spacing w:before="0" w:beforeAutospacing="0" w:after="0" w:afterAutospacing="0" w:line="480" w:lineRule="auto"/>
        <w:ind w:firstLine="720"/>
        <w:rPr>
          <w:b w:val="0"/>
          <w:bCs w:val="0"/>
          <w:color w:val="000000" w:themeColor="text1"/>
          <w:sz w:val="24"/>
          <w:szCs w:val="24"/>
        </w:rPr>
      </w:pPr>
    </w:p>
    <w:p w14:paraId="3BA4A1D4" w14:textId="77777777" w:rsidR="007D2CFF" w:rsidRPr="00A639AF" w:rsidRDefault="007D2CFF" w:rsidP="00A639AF">
      <w:pPr>
        <w:pStyle w:val="Heading2"/>
        <w:spacing w:before="0" w:beforeAutospacing="0" w:after="0" w:afterAutospacing="0" w:line="480" w:lineRule="auto"/>
        <w:rPr>
          <w:i/>
          <w:iCs/>
          <w:color w:val="000000" w:themeColor="text1"/>
          <w:sz w:val="24"/>
          <w:szCs w:val="24"/>
        </w:rPr>
      </w:pPr>
      <w:r w:rsidRPr="00A639AF">
        <w:rPr>
          <w:rFonts w:eastAsia="Arial"/>
          <w:i/>
          <w:iCs/>
          <w:color w:val="000000" w:themeColor="text1"/>
          <w:sz w:val="24"/>
          <w:szCs w:val="24"/>
        </w:rPr>
        <w:t>Nike as Lead Firm: Chain Architecture and Triangle Manufacturing</w:t>
      </w:r>
    </w:p>
    <w:p w14:paraId="35E11C4E" w14:textId="77777777" w:rsidR="007D2CFF" w:rsidRPr="00A639AF" w:rsidRDefault="007D2CFF" w:rsidP="00A639AF">
      <w:pPr>
        <w:spacing w:after="0" w:line="480" w:lineRule="auto"/>
        <w:ind w:firstLine="720"/>
        <w:jc w:val="both"/>
        <w:rPr>
          <w:color w:val="000000" w:themeColor="text1"/>
        </w:rPr>
      </w:pPr>
      <w:r w:rsidRPr="00A639AF">
        <w:rPr>
          <w:color w:val="000000" w:themeColor="text1"/>
        </w:rPr>
        <w:t>Nike is a buyer-driven model. As a brand owner rather than a manufacturer, Nike retains design, marketing, and intellectual property in its Oregon headquarters while outsourcing all physical production to a network of independent contract suppliers across Asia and Latin America. Nike is not the owner of the factories where its products are manufactured; the strength of its brand value and product design is purely its competitive advantage.</w:t>
      </w:r>
    </w:p>
    <w:p w14:paraId="1807B175" w14:textId="77777777" w:rsidR="007D2CFF" w:rsidRPr="00A639AF" w:rsidRDefault="007D2CFF" w:rsidP="00A639AF">
      <w:pPr>
        <w:spacing w:after="0" w:line="480" w:lineRule="auto"/>
        <w:ind w:firstLine="720"/>
        <w:jc w:val="both"/>
        <w:rPr>
          <w:rFonts w:eastAsia="Arial"/>
          <w:color w:val="000000" w:themeColor="text1"/>
        </w:rPr>
      </w:pPr>
      <w:r w:rsidRPr="00A639AF">
        <w:rPr>
          <w:color w:val="000000" w:themeColor="text1"/>
        </w:rPr>
        <w:t xml:space="preserve">One of the structural characteristics of this chain is what </w:t>
      </w:r>
      <w:proofErr w:type="spellStart"/>
      <w:r w:rsidRPr="00A639AF">
        <w:rPr>
          <w:color w:val="000000" w:themeColor="text1"/>
        </w:rPr>
        <w:t>Gereffi</w:t>
      </w:r>
      <w:proofErr w:type="spellEnd"/>
      <w:r w:rsidRPr="00A639AF">
        <w:rPr>
          <w:color w:val="000000" w:themeColor="text1"/>
        </w:rPr>
        <w:t xml:space="preserve"> (1994) refers to as triangle manufacturing. Nike engages highly established intermediary manufacturers (notably Newly Industrialised Countries (NICs), such as Taiwan or South Korea), which in their turn outsource real production to lower-waged countries, including Vietnam. Final products are taken directly to Western markets by the Nike label. This structure helps to keep the cost of production down and protects Nike against the first-order reputational risk of labour conditions. It makes the industry also footloose (Dicken, 2011): the rise in wages or development of </w:t>
      </w:r>
      <w:r w:rsidRPr="00A639AF">
        <w:rPr>
          <w:color w:val="000000" w:themeColor="text1"/>
        </w:rPr>
        <w:lastRenderedPageBreak/>
        <w:t>political instability in a particular place allows the industry to move the orders to other places, and supplier countries can offer very little bargaining power to them</w:t>
      </w:r>
      <w:r w:rsidRPr="00A639AF">
        <w:rPr>
          <w:rFonts w:eastAsia="Arial"/>
          <w:color w:val="000000" w:themeColor="text1"/>
        </w:rPr>
        <w:t>.</w:t>
      </w:r>
    </w:p>
    <w:p w14:paraId="074FBC29" w14:textId="77777777" w:rsidR="007D2CFF" w:rsidRPr="00A639AF" w:rsidRDefault="007D2CFF" w:rsidP="00A639AF">
      <w:pPr>
        <w:spacing w:after="0" w:line="480" w:lineRule="auto"/>
        <w:ind w:firstLine="720"/>
        <w:jc w:val="both"/>
        <w:rPr>
          <w:color w:val="000000" w:themeColor="text1"/>
        </w:rPr>
      </w:pPr>
    </w:p>
    <w:p w14:paraId="7A2F962A" w14:textId="77777777" w:rsidR="007D2CFF" w:rsidRPr="00A639AF" w:rsidRDefault="007D2CFF" w:rsidP="00A639AF">
      <w:pPr>
        <w:pStyle w:val="Heading2"/>
        <w:spacing w:before="0" w:beforeAutospacing="0" w:after="0" w:afterAutospacing="0" w:line="480" w:lineRule="auto"/>
        <w:rPr>
          <w:b w:val="0"/>
          <w:bCs w:val="0"/>
          <w:i/>
          <w:iCs/>
          <w:color w:val="000000" w:themeColor="text1"/>
          <w:sz w:val="24"/>
          <w:szCs w:val="24"/>
        </w:rPr>
      </w:pPr>
      <w:r w:rsidRPr="00A639AF">
        <w:rPr>
          <w:rFonts w:eastAsia="Arial"/>
          <w:b w:val="0"/>
          <w:bCs w:val="0"/>
          <w:i/>
          <w:iCs/>
          <w:color w:val="000000" w:themeColor="text1"/>
          <w:sz w:val="24"/>
          <w:szCs w:val="24"/>
        </w:rPr>
        <w:t>Case Study: The Effect on Vietnam</w:t>
      </w:r>
    </w:p>
    <w:p w14:paraId="0EA0C019" w14:textId="77777777" w:rsidR="007D2CFF" w:rsidRPr="00A639AF" w:rsidRDefault="007D2CFF" w:rsidP="00A639AF">
      <w:pPr>
        <w:spacing w:after="0" w:line="480" w:lineRule="auto"/>
        <w:ind w:firstLine="720"/>
        <w:rPr>
          <w:color w:val="000000" w:themeColor="text1"/>
        </w:rPr>
      </w:pPr>
      <w:r w:rsidRPr="00A639AF">
        <w:rPr>
          <w:color w:val="000000" w:themeColor="text1"/>
        </w:rPr>
        <w:t>According to Nike, as a component of the Global Value Chain of the apparel industry, and after joining the WTO in 2007, the incorporation of Vietnam in its supply chain has become a source of great economic advantages. The textile and garment industry is the largest export business in the country that generates about 16% of GDP and around 15 per cent of the total employment (Better Work, 2025). Moreover, the presence of highly competitive wage rates and constant enhancement of infrastructure has led to large assets of foreign direct investment with net inflows projecting a figure of about USD 71 billion over a period of three years between 2010 and 2020. These advancements have facilitated high urbanisation and been used to reduce levels of poverty significantly.</w:t>
      </w:r>
    </w:p>
    <w:p w14:paraId="47F635DB" w14:textId="784FA795" w:rsidR="007D2CFF" w:rsidRPr="00A639AF" w:rsidRDefault="007D2CFF" w:rsidP="00A639AF">
      <w:pPr>
        <w:spacing w:after="0" w:line="480" w:lineRule="auto"/>
        <w:ind w:firstLine="720"/>
        <w:rPr>
          <w:color w:val="000000" w:themeColor="text1"/>
        </w:rPr>
      </w:pPr>
      <w:r w:rsidRPr="00A639AF">
        <w:rPr>
          <w:color w:val="000000" w:themeColor="text1"/>
        </w:rPr>
        <w:t>The social and government results are more complicated, however. According to Better Work (2025), about 80% of employees in the garment industry of Vietnam are women, and this fact consolidates and strengthens pre-existing gender inequalities in the labour market. Moreover, exit costs are an impediment that workers in low-paying positions experience, making it hard to quit or switch jobs and thus preventing them from leaving the occupation and getting higher-paying jobs with better career opportunities (Soundararajan et al., 2018). Moreover, buyer-driven value chains are footloose, implying that increases in wages or labour standards can be met by causing lead firms to shift production to low-cost countries, thus discouraging social upgrading. Even though digitalisation can amplify productivity, it can also amplify inequality because it will favour those workers who have digital skills and others who do not.</w:t>
      </w:r>
    </w:p>
    <w:p w14:paraId="14644462" w14:textId="77777777" w:rsidR="007D2CFF" w:rsidRPr="00A639AF" w:rsidRDefault="007D2CFF" w:rsidP="00A639AF">
      <w:pPr>
        <w:spacing w:after="0" w:line="480" w:lineRule="auto"/>
        <w:ind w:firstLine="720"/>
        <w:rPr>
          <w:color w:val="000000" w:themeColor="text1"/>
        </w:rPr>
      </w:pPr>
    </w:p>
    <w:p w14:paraId="4B7CE3EE" w14:textId="77777777" w:rsidR="007D2CFF" w:rsidRPr="00A639AF" w:rsidRDefault="007D2CFF" w:rsidP="00A639AF">
      <w:pPr>
        <w:pStyle w:val="Heading1"/>
        <w:spacing w:before="0" w:line="480" w:lineRule="auto"/>
        <w:rPr>
          <w:rFonts w:ascii="Times New Roman" w:hAnsi="Times New Roman" w:cs="Times New Roman"/>
          <w:i/>
          <w:iCs/>
          <w:color w:val="000000" w:themeColor="text1"/>
          <w:sz w:val="24"/>
          <w:szCs w:val="24"/>
        </w:rPr>
      </w:pPr>
      <w:proofErr w:type="gramStart"/>
      <w:r w:rsidRPr="00A639AF">
        <w:rPr>
          <w:rFonts w:ascii="Times New Roman" w:eastAsia="Arial" w:hAnsi="Times New Roman" w:cs="Times New Roman"/>
          <w:b/>
          <w:bCs/>
          <w:i/>
          <w:iCs/>
          <w:color w:val="000000" w:themeColor="text1"/>
          <w:sz w:val="24"/>
          <w:szCs w:val="24"/>
        </w:rPr>
        <w:lastRenderedPageBreak/>
        <w:t>2.3  GVC</w:t>
      </w:r>
      <w:proofErr w:type="gramEnd"/>
      <w:r w:rsidRPr="00A639AF">
        <w:rPr>
          <w:rFonts w:ascii="Times New Roman" w:eastAsia="Arial" w:hAnsi="Times New Roman" w:cs="Times New Roman"/>
          <w:b/>
          <w:bCs/>
          <w:i/>
          <w:iCs/>
          <w:color w:val="000000" w:themeColor="text1"/>
          <w:sz w:val="24"/>
          <w:szCs w:val="24"/>
        </w:rPr>
        <w:t xml:space="preserve"> 2: The Automotive Industry — Volkswagen (Producer-Driven)</w:t>
      </w:r>
    </w:p>
    <w:p w14:paraId="11410558" w14:textId="77777777" w:rsidR="007D2CFF" w:rsidRPr="00A639AF" w:rsidRDefault="007D2CFF" w:rsidP="00A639AF">
      <w:pPr>
        <w:pStyle w:val="Heading2"/>
        <w:spacing w:before="0" w:beforeAutospacing="0" w:after="0" w:afterAutospacing="0" w:line="480" w:lineRule="auto"/>
        <w:ind w:firstLine="720"/>
        <w:rPr>
          <w:b w:val="0"/>
          <w:bCs w:val="0"/>
          <w:color w:val="000000" w:themeColor="text1"/>
          <w:sz w:val="24"/>
          <w:szCs w:val="24"/>
        </w:rPr>
      </w:pPr>
      <w:r w:rsidRPr="00A639AF">
        <w:rPr>
          <w:b w:val="0"/>
          <w:bCs w:val="0"/>
          <w:color w:val="000000" w:themeColor="text1"/>
          <w:sz w:val="24"/>
          <w:szCs w:val="24"/>
        </w:rPr>
        <w:t>Unlike the apparel industry, the automotive GVC is producer centric. It is characterized by large capital outlays, protracted relations with suppliers, and a value placed on technical interoperability among complicated modular systems among the lead firms.</w:t>
      </w:r>
    </w:p>
    <w:p w14:paraId="4B48B8ED" w14:textId="77777777" w:rsidR="007D2CFF" w:rsidRPr="00A639AF" w:rsidRDefault="007D2CFF" w:rsidP="00A639AF">
      <w:pPr>
        <w:pStyle w:val="Heading2"/>
        <w:spacing w:before="0" w:beforeAutospacing="0" w:after="0" w:afterAutospacing="0" w:line="480" w:lineRule="auto"/>
        <w:ind w:firstLine="720"/>
        <w:rPr>
          <w:b w:val="0"/>
          <w:bCs w:val="0"/>
          <w:color w:val="000000" w:themeColor="text1"/>
          <w:sz w:val="24"/>
          <w:szCs w:val="24"/>
        </w:rPr>
      </w:pPr>
    </w:p>
    <w:p w14:paraId="0676B952" w14:textId="77777777" w:rsidR="007D2CFF" w:rsidRPr="00A639AF" w:rsidRDefault="007D2CFF" w:rsidP="00A639AF">
      <w:pPr>
        <w:pStyle w:val="Heading2"/>
        <w:spacing w:before="0" w:beforeAutospacing="0" w:after="0" w:afterAutospacing="0" w:line="480" w:lineRule="auto"/>
        <w:rPr>
          <w:b w:val="0"/>
          <w:bCs w:val="0"/>
          <w:i/>
          <w:iCs/>
          <w:color w:val="000000" w:themeColor="text1"/>
          <w:sz w:val="24"/>
          <w:szCs w:val="24"/>
        </w:rPr>
      </w:pPr>
      <w:r w:rsidRPr="00A639AF">
        <w:rPr>
          <w:rFonts w:eastAsia="Arial"/>
          <w:b w:val="0"/>
          <w:bCs w:val="0"/>
          <w:i/>
          <w:iCs/>
          <w:color w:val="000000" w:themeColor="text1"/>
          <w:sz w:val="24"/>
          <w:szCs w:val="24"/>
        </w:rPr>
        <w:t>Volkswagen as Lead Firm: Chain Architecture and Regional Interdependence</w:t>
      </w:r>
    </w:p>
    <w:p w14:paraId="13B022AF" w14:textId="77777777" w:rsidR="007D2CFF" w:rsidRPr="00A639AF" w:rsidRDefault="007D2CFF" w:rsidP="00A639AF">
      <w:pPr>
        <w:spacing w:after="0" w:line="480" w:lineRule="auto"/>
        <w:ind w:firstLine="720"/>
        <w:jc w:val="both"/>
        <w:rPr>
          <w:color w:val="000000" w:themeColor="text1"/>
        </w:rPr>
      </w:pPr>
      <w:r w:rsidRPr="00A639AF">
        <w:rPr>
          <w:color w:val="000000" w:themeColor="text1"/>
        </w:rPr>
        <w:t xml:space="preserve">Volkswagen (VW) is a company with a hierarchically organized production system. Research and development (R&amp;D) and platform design are done at the headquarters in Germany at VW. Tier 1 Suppliers (such as Bosch and Continental), respectively, manufacture complex, organized structures, including braking structures and electrical modules, below this tier. Tier 2 and Tier 3 suppliers are suppliers of standardised components and raw materials that feed even the upper levels of production. The last assembly is done in local assembly plants, such as the large plant that VW has in Puebla, Mexico (Sturgeon and Van </w:t>
      </w:r>
      <w:proofErr w:type="spellStart"/>
      <w:r w:rsidRPr="00A639AF">
        <w:rPr>
          <w:color w:val="000000" w:themeColor="text1"/>
        </w:rPr>
        <w:t>Biesebroeck</w:t>
      </w:r>
      <w:proofErr w:type="spellEnd"/>
      <w:r w:rsidRPr="00A639AF">
        <w:rPr>
          <w:color w:val="000000" w:themeColor="text1"/>
        </w:rPr>
        <w:t>, 2011).</w:t>
      </w:r>
    </w:p>
    <w:p w14:paraId="672F4746" w14:textId="77777777" w:rsidR="007D2CFF" w:rsidRPr="00A639AF" w:rsidRDefault="007D2CFF" w:rsidP="00A639AF">
      <w:pPr>
        <w:spacing w:after="0" w:line="480" w:lineRule="auto"/>
        <w:ind w:firstLine="720"/>
        <w:jc w:val="both"/>
        <w:rPr>
          <w:rFonts w:eastAsia="Arial"/>
          <w:color w:val="000000" w:themeColor="text1"/>
        </w:rPr>
      </w:pPr>
      <w:r w:rsidRPr="00A639AF">
        <w:rPr>
          <w:color w:val="000000" w:themeColor="text1"/>
        </w:rPr>
        <w:t>Unlike other industries, garments, finished cars, and major parts of the drive, including engines and foreign exchanges, are expensive to move to distant places. Consequently, the automotive Global Value Chains are oriented more towards regional than a global organisation. VW’s operations in Mexico are specifically oriented toward supplying the North American market, a structure reinforced by the United States-Mexico-Canada Agreement (USMCA), which imposes regional content requirements for tariff-free access. This regionalisation provides a degree of stability that an otherwise footloose, buyer-driven chain would not offer. As a result, the high initial capital expenditure to move large-scale automotive production and long-term planning, which in turn strengthens the bargaining position of host countries</w:t>
      </w:r>
      <w:r w:rsidRPr="00A639AF">
        <w:rPr>
          <w:rFonts w:eastAsia="Arial"/>
          <w:color w:val="000000" w:themeColor="text1"/>
        </w:rPr>
        <w:t>.</w:t>
      </w:r>
    </w:p>
    <w:p w14:paraId="3EA35CCC" w14:textId="77777777" w:rsidR="007D2CFF" w:rsidRPr="00A639AF" w:rsidRDefault="007D2CFF" w:rsidP="00A639AF">
      <w:pPr>
        <w:spacing w:after="0" w:line="480" w:lineRule="auto"/>
        <w:ind w:firstLine="720"/>
        <w:jc w:val="both"/>
        <w:rPr>
          <w:color w:val="000000" w:themeColor="text1"/>
        </w:rPr>
      </w:pPr>
    </w:p>
    <w:p w14:paraId="1BCE2F02" w14:textId="77777777" w:rsidR="007D2CFF" w:rsidRPr="00A639AF" w:rsidRDefault="007D2CFF" w:rsidP="00A639AF">
      <w:pPr>
        <w:pStyle w:val="Heading2"/>
        <w:spacing w:before="0" w:beforeAutospacing="0" w:after="0" w:afterAutospacing="0" w:line="480" w:lineRule="auto"/>
        <w:rPr>
          <w:b w:val="0"/>
          <w:bCs w:val="0"/>
          <w:i/>
          <w:iCs/>
          <w:color w:val="000000" w:themeColor="text1"/>
          <w:sz w:val="24"/>
          <w:szCs w:val="24"/>
        </w:rPr>
      </w:pPr>
      <w:r w:rsidRPr="00A639AF">
        <w:rPr>
          <w:rFonts w:eastAsia="Arial"/>
          <w:b w:val="0"/>
          <w:bCs w:val="0"/>
          <w:i/>
          <w:iCs/>
          <w:color w:val="000000" w:themeColor="text1"/>
          <w:sz w:val="24"/>
          <w:szCs w:val="24"/>
        </w:rPr>
        <w:t>Case Study: The Effect on Mexico</w:t>
      </w:r>
    </w:p>
    <w:p w14:paraId="4FEE2CC1" w14:textId="77777777" w:rsidR="007D2CFF" w:rsidRPr="00A639AF" w:rsidRDefault="007D2CFF" w:rsidP="00A639AF">
      <w:pPr>
        <w:spacing w:after="0" w:line="480" w:lineRule="auto"/>
        <w:ind w:firstLine="720"/>
        <w:rPr>
          <w:color w:val="000000" w:themeColor="text1"/>
        </w:rPr>
      </w:pPr>
      <w:r w:rsidRPr="00A639AF">
        <w:rPr>
          <w:color w:val="000000" w:themeColor="text1"/>
        </w:rPr>
        <w:lastRenderedPageBreak/>
        <w:t>Entering the supply chain of Volkswagen, Mexico has helped it to undergo tremendous technological advancement. The Puebla plant that produces the Tiguan and other Volkswagen vehicles to be sold in North America has demanded the use of Mexican Tier 1 and Tier 2 suppliers that would produce highly quality products that would match international standards. Consequently, such suppliers have been investing in modern manufacturing technology and adopting the lean production system. Integration has enhanced productivity and has created technological spillovers in the industrial cluster around it (Lee and Wen, 2025). Moreover, Volkswagen's corporate sustainability needs have recommended more energy-saving production processes, due to which Mexican suppliers have achieved environmental as well as economic upgrading.</w:t>
      </w:r>
    </w:p>
    <w:p w14:paraId="7F37B775" w14:textId="77777777" w:rsidR="007D2CFF" w:rsidRPr="00A639AF" w:rsidRDefault="007D2CFF" w:rsidP="00A639AF">
      <w:pPr>
        <w:spacing w:after="0" w:line="480" w:lineRule="auto"/>
        <w:ind w:firstLine="720"/>
        <w:rPr>
          <w:color w:val="000000" w:themeColor="text1"/>
        </w:rPr>
      </w:pPr>
      <w:r w:rsidRPr="00A639AF">
        <w:rPr>
          <w:color w:val="000000" w:themeColor="text1"/>
        </w:rPr>
        <w:t>Nonetheless, the role of Mexico in the automotive Global Value Chain has created a significant structural problem since the shift to electric vehicles (EVs). Volkswagen has its supply chain being changed with the help of its strategy called ACCELERATE, since batteries take over traditional components of the internal combustion engine. The change is also prompting new Tier 1 Suppliers who specialize in battery technology. Unless the Mexican government plays a close role in helping local companies develop capacity in the production of batteries, power electronics, and software integration, the nation is likely to lose greater value-added positions along the chain. In this case, they might be seized by more advanced competitors, especially companies located in China and having experience in the EV supply chain (Allan and Nahm, 2025; Chen et al., 2025). As such, the issue of green industrial policy is not only an environmental issue, but also strategic, because it reveals the nations that will take value in the next generation of car manufacturing.</w:t>
      </w:r>
    </w:p>
    <w:p w14:paraId="59D46DC4" w14:textId="77777777" w:rsidR="007D2CFF" w:rsidRPr="00A639AF" w:rsidRDefault="007D2CFF" w:rsidP="00A639AF">
      <w:pPr>
        <w:spacing w:after="0" w:line="480" w:lineRule="auto"/>
        <w:ind w:firstLine="720"/>
        <w:rPr>
          <w:color w:val="000000" w:themeColor="text1"/>
        </w:rPr>
      </w:pPr>
    </w:p>
    <w:p w14:paraId="1786116C" w14:textId="77777777" w:rsidR="007D2CFF" w:rsidRPr="00A639AF" w:rsidRDefault="007D2CFF" w:rsidP="00A639AF">
      <w:pPr>
        <w:pStyle w:val="Heading1"/>
        <w:spacing w:before="0" w:line="480" w:lineRule="auto"/>
        <w:rPr>
          <w:rFonts w:ascii="Times New Roman" w:eastAsia="Arial" w:hAnsi="Times New Roman" w:cs="Times New Roman"/>
          <w:b/>
          <w:bCs/>
          <w:i/>
          <w:iCs/>
          <w:color w:val="000000" w:themeColor="text1"/>
          <w:sz w:val="24"/>
          <w:szCs w:val="24"/>
        </w:rPr>
      </w:pPr>
      <w:proofErr w:type="gramStart"/>
      <w:r w:rsidRPr="00A639AF">
        <w:rPr>
          <w:rFonts w:ascii="Times New Roman" w:eastAsia="Arial" w:hAnsi="Times New Roman" w:cs="Times New Roman"/>
          <w:b/>
          <w:bCs/>
          <w:i/>
          <w:iCs/>
          <w:color w:val="000000" w:themeColor="text1"/>
          <w:sz w:val="24"/>
          <w:szCs w:val="24"/>
        </w:rPr>
        <w:t>2.4  Firm</w:t>
      </w:r>
      <w:proofErr w:type="gramEnd"/>
      <w:r w:rsidRPr="00A639AF">
        <w:rPr>
          <w:rFonts w:ascii="Times New Roman" w:eastAsia="Arial" w:hAnsi="Times New Roman" w:cs="Times New Roman"/>
          <w:b/>
          <w:bCs/>
          <w:i/>
          <w:iCs/>
          <w:color w:val="000000" w:themeColor="text1"/>
          <w:sz w:val="24"/>
          <w:szCs w:val="24"/>
        </w:rPr>
        <w:t>- and Government-Level Responses to GVC Participation</w:t>
      </w:r>
    </w:p>
    <w:p w14:paraId="330FE37A" w14:textId="77777777" w:rsidR="007D2CFF" w:rsidRPr="00A639AF" w:rsidRDefault="007D2CFF" w:rsidP="00A639AF">
      <w:pPr>
        <w:spacing w:after="0" w:line="480" w:lineRule="auto"/>
      </w:pPr>
    </w:p>
    <w:p w14:paraId="0D5710EA" w14:textId="77777777" w:rsidR="007D2CFF" w:rsidRPr="00A639AF" w:rsidRDefault="007D2CFF" w:rsidP="00A639AF">
      <w:pPr>
        <w:pStyle w:val="Heading2"/>
        <w:spacing w:before="0" w:beforeAutospacing="0" w:after="0" w:afterAutospacing="0" w:line="480" w:lineRule="auto"/>
        <w:rPr>
          <w:b w:val="0"/>
          <w:bCs w:val="0"/>
          <w:i/>
          <w:iCs/>
          <w:color w:val="000000" w:themeColor="text1"/>
          <w:sz w:val="24"/>
          <w:szCs w:val="24"/>
        </w:rPr>
      </w:pPr>
      <w:r w:rsidRPr="00A639AF">
        <w:rPr>
          <w:rFonts w:eastAsia="Arial"/>
          <w:b w:val="0"/>
          <w:bCs w:val="0"/>
          <w:i/>
          <w:iCs/>
          <w:color w:val="000000" w:themeColor="text1"/>
          <w:sz w:val="24"/>
          <w:szCs w:val="24"/>
        </w:rPr>
        <w:lastRenderedPageBreak/>
        <w:t>Firm-Level Strategies</w:t>
      </w:r>
    </w:p>
    <w:p w14:paraId="603088B8" w14:textId="77777777" w:rsidR="007D2CFF" w:rsidRPr="00A639AF" w:rsidRDefault="007D2CFF" w:rsidP="00A639AF">
      <w:pPr>
        <w:pStyle w:val="Heading2"/>
        <w:spacing w:before="0" w:beforeAutospacing="0" w:after="0" w:afterAutospacing="0" w:line="480" w:lineRule="auto"/>
        <w:ind w:firstLine="720"/>
        <w:rPr>
          <w:b w:val="0"/>
          <w:bCs w:val="0"/>
          <w:color w:val="000000" w:themeColor="text1"/>
          <w:sz w:val="24"/>
          <w:szCs w:val="24"/>
        </w:rPr>
      </w:pPr>
      <w:r w:rsidRPr="00A639AF">
        <w:rPr>
          <w:b w:val="0"/>
          <w:bCs w:val="0"/>
          <w:color w:val="000000" w:themeColor="text1"/>
          <w:sz w:val="24"/>
          <w:szCs w:val="24"/>
        </w:rPr>
        <w:t>The functional upgrading that involves the shift in low-value assembly operations (Original Equipment Manufacturing, or OEM) to higher-value operations (product design and brand ownership) is the core firm-level issue of the two case studies. This transformation does not come by default. Rather, it mandates continuous investment in research and development, the design capability building, and the dependency building on independent market relationships that decrease the dependence on lead firms (Gereffi, 2019).</w:t>
      </w:r>
    </w:p>
    <w:p w14:paraId="40F9DF06" w14:textId="77777777" w:rsidR="007D2CFF" w:rsidRPr="00A639AF" w:rsidRDefault="007D2CFF" w:rsidP="00A639AF">
      <w:pPr>
        <w:pStyle w:val="Heading2"/>
        <w:spacing w:before="0" w:beforeAutospacing="0" w:after="0" w:afterAutospacing="0" w:line="480" w:lineRule="auto"/>
        <w:ind w:firstLine="720"/>
        <w:rPr>
          <w:b w:val="0"/>
          <w:bCs w:val="0"/>
          <w:color w:val="000000" w:themeColor="text1"/>
          <w:sz w:val="24"/>
          <w:szCs w:val="24"/>
        </w:rPr>
      </w:pPr>
      <w:r w:rsidRPr="00A639AF">
        <w:rPr>
          <w:b w:val="0"/>
          <w:bCs w:val="0"/>
          <w:color w:val="000000" w:themeColor="text1"/>
          <w:sz w:val="24"/>
          <w:szCs w:val="24"/>
        </w:rPr>
        <w:t>One of the essential processes that can promote such upgrading is the boundary work, which presupposes the existence between the rigorous demands of global lead companies and the realities of local production settings (Soundararajan et al., 2018). This is done in both Mexico and Vietnam, through the sourcing agents and industry associations, who assist local suppliers to learn and comprehend the international standards, and inform lead firms of local constraints. Companies that can internalize them instead of relying fully on intermediaries are in a better position to attain longer-term upgrading in global value chains.</w:t>
      </w:r>
    </w:p>
    <w:p w14:paraId="6F3189BD" w14:textId="77777777" w:rsidR="007D2CFF" w:rsidRPr="00A639AF" w:rsidRDefault="007D2CFF" w:rsidP="00A639AF">
      <w:pPr>
        <w:pStyle w:val="Heading2"/>
        <w:spacing w:before="0" w:beforeAutospacing="0" w:after="0" w:afterAutospacing="0" w:line="480" w:lineRule="auto"/>
        <w:ind w:firstLine="720"/>
        <w:rPr>
          <w:b w:val="0"/>
          <w:bCs w:val="0"/>
          <w:color w:val="000000" w:themeColor="text1"/>
          <w:sz w:val="24"/>
          <w:szCs w:val="24"/>
        </w:rPr>
      </w:pPr>
    </w:p>
    <w:p w14:paraId="4CEDBD66" w14:textId="77777777" w:rsidR="007D2CFF" w:rsidRPr="00A639AF" w:rsidRDefault="007D2CFF" w:rsidP="00A639AF">
      <w:pPr>
        <w:pStyle w:val="Heading2"/>
        <w:spacing w:before="0" w:beforeAutospacing="0" w:after="0" w:afterAutospacing="0" w:line="480" w:lineRule="auto"/>
        <w:rPr>
          <w:b w:val="0"/>
          <w:bCs w:val="0"/>
          <w:i/>
          <w:iCs/>
          <w:color w:val="000000" w:themeColor="text1"/>
          <w:sz w:val="24"/>
          <w:szCs w:val="24"/>
        </w:rPr>
      </w:pPr>
      <w:r w:rsidRPr="00A639AF">
        <w:rPr>
          <w:rFonts w:eastAsia="Arial"/>
          <w:b w:val="0"/>
          <w:bCs w:val="0"/>
          <w:i/>
          <w:iCs/>
          <w:color w:val="000000" w:themeColor="text1"/>
          <w:sz w:val="24"/>
          <w:szCs w:val="24"/>
        </w:rPr>
        <w:t>Government-Level Strategies</w:t>
      </w:r>
    </w:p>
    <w:p w14:paraId="5787D230" w14:textId="77777777" w:rsidR="007D2CFF" w:rsidRPr="00A639AF" w:rsidRDefault="007D2CFF" w:rsidP="00A639AF">
      <w:pPr>
        <w:spacing w:after="0" w:line="480" w:lineRule="auto"/>
        <w:ind w:firstLine="720"/>
        <w:rPr>
          <w:color w:val="000000" w:themeColor="text1"/>
        </w:rPr>
      </w:pPr>
      <w:r w:rsidRPr="00A639AF">
        <w:rPr>
          <w:color w:val="000000" w:themeColor="text1"/>
        </w:rPr>
        <w:t>Emerging markets are unable to sit back and enjoy the fruits of GVC integration. The institutional voids, i.e., the lack of functional regulatory frameworks, enforceable labour standards, and infrastructure of skills, weaken the environments under which social upgrading can occur (Soundararajan et al., 2018). The active government intervention will involve investing in workplace and digital training programmes to make sure productivity gains are widely distributed; the creation and enforcement of labour protections that do not favour a race-to-the-bottom dynamic; and the development of trade-enabling infrastructure, such as logistics networks and digital connectivity (Cook and Rani, 2025; Alzoubi et al., 2025).</w:t>
      </w:r>
    </w:p>
    <w:p w14:paraId="10975701" w14:textId="77777777" w:rsidR="007D2CFF" w:rsidRPr="00A639AF" w:rsidRDefault="007D2CFF" w:rsidP="00A639AF">
      <w:pPr>
        <w:spacing w:after="0" w:line="480" w:lineRule="auto"/>
        <w:ind w:firstLine="720"/>
        <w:rPr>
          <w:color w:val="000000" w:themeColor="text1"/>
        </w:rPr>
      </w:pPr>
      <w:r w:rsidRPr="00A639AF">
        <w:rPr>
          <w:color w:val="000000" w:themeColor="text1"/>
        </w:rPr>
        <w:lastRenderedPageBreak/>
        <w:t>At a higher level of strategy, the governments will have to choose between developing GVC relations further or relying on regionalism and near-shoring as the trends of deglobalisation continue to rise (</w:t>
      </w:r>
      <w:proofErr w:type="spellStart"/>
      <w:r w:rsidRPr="00A639AF">
        <w:rPr>
          <w:color w:val="000000" w:themeColor="text1"/>
        </w:rPr>
        <w:t>Yucesan</w:t>
      </w:r>
      <w:proofErr w:type="spellEnd"/>
      <w:r w:rsidRPr="00A639AF">
        <w:rPr>
          <w:color w:val="000000" w:themeColor="text1"/>
        </w:rPr>
        <w:t>, 2025; Mittal and Mittal, 2025). In the case of Mexico specifically, the USMCA model already provides a motive toward regionalization, but the EV transition creates a pressing need to design proactive green industrial policy in advance of VW and other OEMs building their next-generation supply chains devoid of Mexican content. In the case of Vietnam, the problem is instead to maintain the competitiveness of exports in terms of apparel and at the same time create the environment, the infrastructure, skills, and protection of IP, that would enable domestic firms to ascend the smile curve to design and branding.</w:t>
      </w:r>
    </w:p>
    <w:p w14:paraId="4392AAA9" w14:textId="77777777" w:rsidR="007D2CFF" w:rsidRPr="00A639AF" w:rsidRDefault="007D2CFF" w:rsidP="00A639AF">
      <w:pPr>
        <w:spacing w:after="0" w:line="480" w:lineRule="auto"/>
        <w:ind w:firstLine="720"/>
        <w:rPr>
          <w:color w:val="000000" w:themeColor="text1"/>
        </w:rPr>
      </w:pPr>
    </w:p>
    <w:p w14:paraId="18F1737E" w14:textId="77777777" w:rsidR="007D2CFF" w:rsidRPr="00A639AF" w:rsidRDefault="007D2CFF" w:rsidP="00A639AF">
      <w:pPr>
        <w:pStyle w:val="Heading1"/>
        <w:spacing w:before="0" w:line="480" w:lineRule="auto"/>
        <w:rPr>
          <w:rFonts w:ascii="Times New Roman" w:hAnsi="Times New Roman" w:cs="Times New Roman"/>
          <w:b/>
          <w:bCs/>
          <w:i/>
          <w:iCs/>
          <w:color w:val="000000" w:themeColor="text1"/>
          <w:sz w:val="24"/>
          <w:szCs w:val="24"/>
        </w:rPr>
      </w:pPr>
      <w:r w:rsidRPr="00A639AF">
        <w:rPr>
          <w:rFonts w:ascii="Times New Roman" w:eastAsia="Arial" w:hAnsi="Times New Roman" w:cs="Times New Roman"/>
          <w:b/>
          <w:bCs/>
          <w:i/>
          <w:iCs/>
          <w:color w:val="000000" w:themeColor="text1"/>
          <w:sz w:val="24"/>
          <w:szCs w:val="24"/>
        </w:rPr>
        <w:t>3.  Conclusion</w:t>
      </w:r>
    </w:p>
    <w:p w14:paraId="01E8701C" w14:textId="77777777" w:rsidR="007D2CFF" w:rsidRPr="00A639AF" w:rsidRDefault="007D2CFF" w:rsidP="00A639AF">
      <w:pPr>
        <w:spacing w:after="0" w:line="480" w:lineRule="auto"/>
        <w:ind w:firstLine="720"/>
        <w:rPr>
          <w:color w:val="000000" w:themeColor="text1"/>
        </w:rPr>
      </w:pPr>
      <w:r w:rsidRPr="00A639AF">
        <w:rPr>
          <w:color w:val="000000" w:themeColor="text1"/>
        </w:rPr>
        <w:t xml:space="preserve">A comparison of Nike’s buyer-driven apparel chain in Vietnam and Volkswagen’s producer-driven automotive chain in Mexico illustrates that GVCs are not a uniform development mechanism: their structural characteristics determine the nature and distribution of the opportunities and risks they create. The Nike apparel model provides comparatively open access to the developing economies. This has helped Vietnam to achieve a fast reduction of poverty and middle-income. Nevertheless, the very proximity of the model, low barriers, strong competition among suppliers, and footloose capital put a structural strain on bilateral economic and social upgrading that has not been resolved. Payment increase will lead to order shift; branding and design have been entrenched in the headquarters of Nike. The Volkswagen automotive model has more profound integration, higher stability, and motivation for technological improvement in Mexico, as is witnessed by the evolution of maquiladora assembly to sophisticated manufacturing systems. Nevertheless, the high financial cost of TNCs and strategic mobility generates their own shortcomings, which are </w:t>
      </w:r>
      <w:r w:rsidRPr="00A639AF">
        <w:rPr>
          <w:color w:val="000000" w:themeColor="text1"/>
        </w:rPr>
        <w:lastRenderedPageBreak/>
        <w:t>most dramatic during their current EV transition era. Nevertheless, TNCs are vulnerable due to their high capital requirement and strategic mobility, which is most obvious during the current EV transition period. Mexico would be able to lose the decades of industrial capabilities that it has built unless it proactively stands in the new supply chain structure at VW. GVCs' developmental impact is eventually co-produced: it is a matter of strategic decisions of local companies, of government-devised policy templates, and, more and more, of the disposition of lead firms to invest in actual social and environmental modernization through their supplier networks.</w:t>
      </w:r>
    </w:p>
    <w:p w14:paraId="4FA772D2" w14:textId="77777777" w:rsidR="007D2CFF" w:rsidRPr="00A639AF" w:rsidRDefault="007D2CFF" w:rsidP="00A639AF">
      <w:pPr>
        <w:spacing w:after="0" w:line="480" w:lineRule="auto"/>
        <w:ind w:firstLine="720"/>
        <w:rPr>
          <w:color w:val="000000" w:themeColor="text1"/>
        </w:rPr>
      </w:pPr>
    </w:p>
    <w:p w14:paraId="4D2192A6" w14:textId="77777777" w:rsidR="007D2CFF" w:rsidRPr="00A639AF" w:rsidRDefault="007D2CFF" w:rsidP="00A639AF">
      <w:pPr>
        <w:pStyle w:val="Heading1"/>
        <w:spacing w:before="0" w:line="480" w:lineRule="auto"/>
        <w:rPr>
          <w:rFonts w:ascii="Times New Roman" w:hAnsi="Times New Roman" w:cs="Times New Roman"/>
          <w:b/>
          <w:bCs/>
          <w:i/>
          <w:iCs/>
          <w:color w:val="000000" w:themeColor="text1"/>
          <w:sz w:val="24"/>
          <w:szCs w:val="24"/>
        </w:rPr>
      </w:pPr>
      <w:r w:rsidRPr="00A639AF">
        <w:rPr>
          <w:rFonts w:ascii="Times New Roman" w:eastAsia="Arial" w:hAnsi="Times New Roman" w:cs="Times New Roman"/>
          <w:b/>
          <w:bCs/>
          <w:i/>
          <w:iCs/>
          <w:color w:val="000000" w:themeColor="text1"/>
          <w:sz w:val="24"/>
          <w:szCs w:val="24"/>
        </w:rPr>
        <w:t>4.  Recommendations</w:t>
      </w:r>
    </w:p>
    <w:p w14:paraId="1C03D828" w14:textId="77777777" w:rsidR="007D2CFF" w:rsidRPr="00A639AF" w:rsidRDefault="007D2CFF" w:rsidP="00A639AF">
      <w:pPr>
        <w:pStyle w:val="Heading2"/>
        <w:spacing w:before="0" w:beforeAutospacing="0" w:after="0" w:afterAutospacing="0" w:line="480" w:lineRule="auto"/>
        <w:rPr>
          <w:b w:val="0"/>
          <w:bCs w:val="0"/>
          <w:i/>
          <w:iCs/>
          <w:color w:val="000000" w:themeColor="text1"/>
          <w:sz w:val="24"/>
          <w:szCs w:val="24"/>
        </w:rPr>
      </w:pPr>
      <w:r w:rsidRPr="00A639AF">
        <w:rPr>
          <w:rFonts w:eastAsia="Arial"/>
          <w:b w:val="0"/>
          <w:bCs w:val="0"/>
          <w:i/>
          <w:iCs/>
          <w:color w:val="000000" w:themeColor="text1"/>
          <w:sz w:val="24"/>
          <w:szCs w:val="24"/>
        </w:rPr>
        <w:t>For Emerging Market Firms</w:t>
      </w:r>
    </w:p>
    <w:p w14:paraId="5A882596" w14:textId="77777777" w:rsidR="007D2CFF" w:rsidRPr="00A639AF" w:rsidRDefault="007D2CFF" w:rsidP="00A639AF">
      <w:pPr>
        <w:pStyle w:val="ListParagraph"/>
        <w:numPr>
          <w:ilvl w:val="0"/>
          <w:numId w:val="3"/>
        </w:numPr>
        <w:spacing w:line="480" w:lineRule="auto"/>
        <w:rPr>
          <w:rFonts w:ascii="Times New Roman" w:hAnsi="Times New Roman" w:cs="Times New Roman"/>
          <w:color w:val="000000" w:themeColor="text1"/>
          <w:sz w:val="24"/>
          <w:szCs w:val="24"/>
        </w:rPr>
      </w:pPr>
      <w:r w:rsidRPr="00A639AF">
        <w:rPr>
          <w:rFonts w:ascii="Times New Roman" w:hAnsi="Times New Roman" w:cs="Times New Roman"/>
          <w:color w:val="000000" w:themeColor="text1"/>
          <w:sz w:val="24"/>
          <w:szCs w:val="24"/>
        </w:rPr>
        <w:t>Proceed with functional upgrading in a methodical way with an assembly process, via OEM and an assembly process, to OBM, and with a long-term investment in design capacity, labor force capabilities, and brand name as an exploitation of the results of innovation spillovers associated with lead firm associations (</w:t>
      </w:r>
      <w:proofErr w:type="spellStart"/>
      <w:r w:rsidRPr="00A639AF">
        <w:rPr>
          <w:rFonts w:ascii="Times New Roman" w:hAnsi="Times New Roman" w:cs="Times New Roman"/>
          <w:color w:val="000000" w:themeColor="text1"/>
          <w:sz w:val="24"/>
          <w:szCs w:val="24"/>
        </w:rPr>
        <w:t>Gereffi</w:t>
      </w:r>
      <w:proofErr w:type="spellEnd"/>
      <w:r w:rsidRPr="00A639AF">
        <w:rPr>
          <w:rFonts w:ascii="Times New Roman" w:hAnsi="Times New Roman" w:cs="Times New Roman"/>
          <w:color w:val="000000" w:themeColor="text1"/>
          <w:sz w:val="24"/>
          <w:szCs w:val="24"/>
        </w:rPr>
        <w:t>, 2019).</w:t>
      </w:r>
    </w:p>
    <w:p w14:paraId="3416C808" w14:textId="77777777" w:rsidR="007D2CFF" w:rsidRPr="00A639AF" w:rsidRDefault="007D2CFF" w:rsidP="00A639AF">
      <w:pPr>
        <w:pStyle w:val="ListParagraph"/>
        <w:numPr>
          <w:ilvl w:val="0"/>
          <w:numId w:val="3"/>
        </w:numPr>
        <w:spacing w:line="480" w:lineRule="auto"/>
        <w:rPr>
          <w:rFonts w:ascii="Times New Roman" w:hAnsi="Times New Roman" w:cs="Times New Roman"/>
          <w:color w:val="000000" w:themeColor="text1"/>
          <w:sz w:val="24"/>
          <w:szCs w:val="24"/>
        </w:rPr>
      </w:pPr>
      <w:r w:rsidRPr="00A639AF">
        <w:rPr>
          <w:rFonts w:ascii="Times New Roman" w:hAnsi="Times New Roman" w:cs="Times New Roman"/>
          <w:color w:val="000000" w:themeColor="text1"/>
          <w:sz w:val="24"/>
          <w:szCs w:val="24"/>
        </w:rPr>
        <w:t xml:space="preserve">Build digital capabilities to respond to the progressively stricter supply chain transparency and environmental responsibility demands of global lead firms, especially in those sectors within the </w:t>
      </w:r>
      <w:proofErr w:type="gramStart"/>
      <w:r w:rsidRPr="00A639AF">
        <w:rPr>
          <w:rFonts w:ascii="Times New Roman" w:hAnsi="Times New Roman" w:cs="Times New Roman"/>
          <w:color w:val="000000" w:themeColor="text1"/>
          <w:sz w:val="24"/>
          <w:szCs w:val="24"/>
        </w:rPr>
        <w:t>Industry</w:t>
      </w:r>
      <w:proofErr w:type="gramEnd"/>
      <w:r w:rsidRPr="00A639AF">
        <w:rPr>
          <w:rFonts w:ascii="Times New Roman" w:hAnsi="Times New Roman" w:cs="Times New Roman"/>
          <w:color w:val="000000" w:themeColor="text1"/>
          <w:sz w:val="24"/>
          <w:szCs w:val="24"/>
        </w:rPr>
        <w:t xml:space="preserve"> 4.0 transformation (</w:t>
      </w:r>
      <w:proofErr w:type="spellStart"/>
      <w:r w:rsidRPr="00A639AF">
        <w:rPr>
          <w:rFonts w:ascii="Times New Roman" w:hAnsi="Times New Roman" w:cs="Times New Roman"/>
          <w:color w:val="000000" w:themeColor="text1"/>
          <w:sz w:val="24"/>
          <w:szCs w:val="24"/>
        </w:rPr>
        <w:t>Nyagadza</w:t>
      </w:r>
      <w:proofErr w:type="spellEnd"/>
      <w:r w:rsidRPr="00A639AF">
        <w:rPr>
          <w:rFonts w:ascii="Times New Roman" w:hAnsi="Times New Roman" w:cs="Times New Roman"/>
          <w:color w:val="000000" w:themeColor="text1"/>
          <w:sz w:val="24"/>
          <w:szCs w:val="24"/>
        </w:rPr>
        <w:t xml:space="preserve"> et al., 2022).</w:t>
      </w:r>
    </w:p>
    <w:p w14:paraId="69049AE5" w14:textId="77777777" w:rsidR="007D2CFF" w:rsidRPr="00A639AF" w:rsidRDefault="007D2CFF" w:rsidP="00A639AF">
      <w:pPr>
        <w:pStyle w:val="ListParagraph"/>
        <w:numPr>
          <w:ilvl w:val="0"/>
          <w:numId w:val="3"/>
        </w:numPr>
        <w:spacing w:line="480" w:lineRule="auto"/>
        <w:rPr>
          <w:rFonts w:ascii="Times New Roman" w:hAnsi="Times New Roman" w:cs="Times New Roman"/>
          <w:color w:val="000000" w:themeColor="text1"/>
          <w:sz w:val="24"/>
          <w:szCs w:val="24"/>
        </w:rPr>
      </w:pPr>
      <w:proofErr w:type="spellStart"/>
      <w:r w:rsidRPr="00A639AF">
        <w:rPr>
          <w:rFonts w:ascii="Times New Roman" w:hAnsi="Times New Roman" w:cs="Times New Roman"/>
          <w:color w:val="000000" w:themeColor="text1"/>
          <w:sz w:val="24"/>
          <w:szCs w:val="24"/>
        </w:rPr>
        <w:t>Institutionalise</w:t>
      </w:r>
      <w:proofErr w:type="spellEnd"/>
      <w:r w:rsidRPr="00A639AF">
        <w:rPr>
          <w:rFonts w:ascii="Times New Roman" w:hAnsi="Times New Roman" w:cs="Times New Roman"/>
          <w:color w:val="000000" w:themeColor="text1"/>
          <w:sz w:val="24"/>
          <w:szCs w:val="24"/>
        </w:rPr>
        <w:t xml:space="preserve"> boundary work: Invest in special compliance and standards teams who can mediate between global demands and local production realities to make foreignness less liable, and that leads firms to have more steady relationships (Soundararajan et al., 2018).</w:t>
      </w:r>
    </w:p>
    <w:p w14:paraId="45EE902D" w14:textId="77777777" w:rsidR="007D2CFF" w:rsidRPr="00A639AF" w:rsidRDefault="007D2CFF" w:rsidP="00A639AF">
      <w:pPr>
        <w:spacing w:after="0" w:line="480" w:lineRule="auto"/>
        <w:rPr>
          <w:color w:val="000000" w:themeColor="text1"/>
        </w:rPr>
      </w:pPr>
    </w:p>
    <w:p w14:paraId="70B721AC" w14:textId="77777777" w:rsidR="007D2CFF" w:rsidRPr="00A639AF" w:rsidRDefault="007D2CFF" w:rsidP="00A639AF">
      <w:pPr>
        <w:pStyle w:val="Heading2"/>
        <w:spacing w:before="0" w:beforeAutospacing="0" w:after="0" w:afterAutospacing="0" w:line="480" w:lineRule="auto"/>
        <w:rPr>
          <w:b w:val="0"/>
          <w:bCs w:val="0"/>
          <w:i/>
          <w:iCs/>
          <w:color w:val="000000" w:themeColor="text1"/>
          <w:sz w:val="24"/>
          <w:szCs w:val="24"/>
        </w:rPr>
      </w:pPr>
      <w:r w:rsidRPr="00A639AF">
        <w:rPr>
          <w:rFonts w:eastAsia="Arial"/>
          <w:b w:val="0"/>
          <w:bCs w:val="0"/>
          <w:i/>
          <w:iCs/>
          <w:color w:val="000000" w:themeColor="text1"/>
          <w:sz w:val="24"/>
          <w:szCs w:val="24"/>
        </w:rPr>
        <w:t>For Governments</w:t>
      </w:r>
    </w:p>
    <w:p w14:paraId="3C93C58F" w14:textId="77777777" w:rsidR="007D2CFF" w:rsidRPr="00A639AF" w:rsidRDefault="007D2CFF" w:rsidP="00A639AF">
      <w:pPr>
        <w:pStyle w:val="ListParagraph"/>
        <w:numPr>
          <w:ilvl w:val="0"/>
          <w:numId w:val="4"/>
        </w:numPr>
        <w:spacing w:line="480" w:lineRule="auto"/>
        <w:rPr>
          <w:rFonts w:ascii="Times New Roman" w:hAnsi="Times New Roman" w:cs="Times New Roman"/>
          <w:color w:val="000000" w:themeColor="text1"/>
          <w:sz w:val="24"/>
          <w:szCs w:val="24"/>
        </w:rPr>
      </w:pPr>
      <w:r w:rsidRPr="00A639AF">
        <w:rPr>
          <w:rFonts w:ascii="Times New Roman" w:hAnsi="Times New Roman" w:cs="Times New Roman"/>
          <w:color w:val="000000" w:themeColor="text1"/>
          <w:sz w:val="24"/>
          <w:szCs w:val="24"/>
        </w:rPr>
        <w:lastRenderedPageBreak/>
        <w:t>Include active pro-green industrial policy - specifically in Mexico - to make sure that local suppliers are placed in next-generation EV supply chains before outsourcing away those chains' consolidation, again without local content (Allan and Nahm, 2025).</w:t>
      </w:r>
    </w:p>
    <w:p w14:paraId="0C0EE561" w14:textId="77777777" w:rsidR="007D2CFF" w:rsidRPr="00A639AF" w:rsidRDefault="007D2CFF" w:rsidP="00A639AF">
      <w:pPr>
        <w:pStyle w:val="ListParagraph"/>
        <w:numPr>
          <w:ilvl w:val="0"/>
          <w:numId w:val="4"/>
        </w:numPr>
        <w:spacing w:line="480" w:lineRule="auto"/>
        <w:rPr>
          <w:rFonts w:ascii="Times New Roman" w:hAnsi="Times New Roman" w:cs="Times New Roman"/>
          <w:color w:val="000000" w:themeColor="text1"/>
          <w:sz w:val="24"/>
          <w:szCs w:val="24"/>
        </w:rPr>
      </w:pPr>
      <w:r w:rsidRPr="00A639AF">
        <w:rPr>
          <w:rFonts w:ascii="Times New Roman" w:hAnsi="Times New Roman" w:cs="Times New Roman"/>
          <w:color w:val="000000" w:themeColor="text1"/>
          <w:sz w:val="24"/>
          <w:szCs w:val="24"/>
        </w:rPr>
        <w:t>Commit heavily to vocational education and digital literacy initiatives to avoid having the human resources of GVC productivity accumulate in a small group of the elite and to avert the risk of social downgrading discussed in the apparel scenario (Cook and Rani, 2025).</w:t>
      </w:r>
    </w:p>
    <w:p w14:paraId="582A7C81" w14:textId="6813CD98" w:rsidR="007D2CFF" w:rsidRPr="00EE5881" w:rsidRDefault="007D2CFF" w:rsidP="00A639AF">
      <w:pPr>
        <w:pStyle w:val="ListParagraph"/>
        <w:numPr>
          <w:ilvl w:val="0"/>
          <w:numId w:val="4"/>
        </w:numPr>
        <w:spacing w:line="480" w:lineRule="auto"/>
        <w:contextualSpacing/>
        <w:rPr>
          <w:rFonts w:eastAsia="Times New Roman"/>
          <w:b/>
          <w:bCs/>
          <w:lang w:val="" w:eastAsia=""/>
        </w:rPr>
      </w:pPr>
      <w:r w:rsidRPr="00EE5881">
        <w:rPr>
          <w:rFonts w:ascii="Times New Roman" w:hAnsi="Times New Roman" w:cs="Times New Roman"/>
          <w:color w:val="000000" w:themeColor="text1"/>
          <w:sz w:val="24"/>
          <w:szCs w:val="24"/>
        </w:rPr>
        <w:t xml:space="preserve">Overcome institutional voids with enforceable </w:t>
      </w:r>
      <w:proofErr w:type="spellStart"/>
      <w:r w:rsidRPr="00EE5881">
        <w:rPr>
          <w:rFonts w:ascii="Times New Roman" w:hAnsi="Times New Roman" w:cs="Times New Roman"/>
          <w:color w:val="000000" w:themeColor="text1"/>
          <w:sz w:val="24"/>
          <w:szCs w:val="24"/>
        </w:rPr>
        <w:t>labour</w:t>
      </w:r>
      <w:proofErr w:type="spellEnd"/>
      <w:r w:rsidRPr="00EE5881">
        <w:rPr>
          <w:rFonts w:ascii="Times New Roman" w:hAnsi="Times New Roman" w:cs="Times New Roman"/>
          <w:color w:val="000000" w:themeColor="text1"/>
          <w:sz w:val="24"/>
          <w:szCs w:val="24"/>
        </w:rPr>
        <w:t xml:space="preserve"> standards and investor-grade infrastructure, transforming passive participation in the GVC into a means of industrial upgrading in the </w:t>
      </w:r>
      <w:proofErr w:type="gramStart"/>
      <w:r w:rsidRPr="00EE5881">
        <w:rPr>
          <w:rFonts w:ascii="Times New Roman" w:hAnsi="Times New Roman" w:cs="Times New Roman"/>
          <w:color w:val="000000" w:themeColor="text1"/>
          <w:sz w:val="24"/>
          <w:szCs w:val="24"/>
        </w:rPr>
        <w:t>long term</w:t>
      </w:r>
      <w:proofErr w:type="gramEnd"/>
      <w:r w:rsidRPr="00EE5881">
        <w:rPr>
          <w:rFonts w:ascii="Times New Roman" w:hAnsi="Times New Roman" w:cs="Times New Roman"/>
          <w:color w:val="000000" w:themeColor="text1"/>
          <w:sz w:val="24"/>
          <w:szCs w:val="24"/>
        </w:rPr>
        <w:t xml:space="preserve"> using Smart Government and strategic coupling initiatives (Alzoubi et al., 2025; Riccio et al., 2025).</w:t>
      </w:r>
    </w:p>
    <w:p w14:paraId="2A4DE8CA" w14:textId="77777777" w:rsidR="00EE5881" w:rsidRDefault="00EE5881">
      <w:pPr>
        <w:rPr>
          <w:rFonts w:eastAsia="Times New Roman"/>
          <w:b/>
          <w:bCs/>
          <w:lang w:val="" w:eastAsia=""/>
        </w:rPr>
      </w:pPr>
      <w:r>
        <w:rPr>
          <w:b/>
          <w:bCs/>
        </w:rPr>
        <w:br w:type="page"/>
      </w:r>
    </w:p>
    <w:p w14:paraId="1EC4CBF3" w14:textId="3558CA19" w:rsidR="00247475" w:rsidRPr="00A639AF" w:rsidRDefault="00231172" w:rsidP="00EE5881">
      <w:pPr>
        <w:pStyle w:val="NormalWeb"/>
        <w:spacing w:before="0" w:beforeAutospacing="0" w:after="0" w:afterAutospacing="0" w:line="480" w:lineRule="auto"/>
        <w:contextualSpacing/>
        <w:jc w:val="center"/>
        <w:rPr>
          <w:b/>
          <w:bCs/>
        </w:rPr>
      </w:pPr>
      <w:r w:rsidRPr="00A639AF">
        <w:rPr>
          <w:b/>
          <w:bCs/>
        </w:rPr>
        <w:lastRenderedPageBreak/>
        <w:t>References</w:t>
      </w:r>
    </w:p>
    <w:p w14:paraId="10CF61C6" w14:textId="00636F83" w:rsidR="00C644F3" w:rsidRPr="00A639AF" w:rsidRDefault="00231172" w:rsidP="00A639AF">
      <w:pPr>
        <w:spacing w:after="0" w:line="480" w:lineRule="auto"/>
        <w:ind w:left="720" w:hanging="720"/>
        <w:contextualSpacing/>
        <w:rPr>
          <w:rFonts w:eastAsia="Times New Roman"/>
          <w:lang w:val="" w:eastAsia=""/>
        </w:rPr>
      </w:pPr>
      <w:r w:rsidRPr="00A639AF">
        <w:rPr>
          <w:rFonts w:eastAsia="Times New Roman"/>
          <w:lang w:val="" w:eastAsia=""/>
        </w:rPr>
        <w:t xml:space="preserve">Allan, B.B. and Nahm, J. (2025). Strategies of green industrial policy: How states position firms in global supply chains. </w:t>
      </w:r>
      <w:r w:rsidRPr="00A639AF">
        <w:rPr>
          <w:rFonts w:eastAsia="Times New Roman"/>
          <w:i/>
          <w:iCs/>
          <w:lang w:val="" w:eastAsia=""/>
        </w:rPr>
        <w:t>American Political Science Review</w:t>
      </w:r>
      <w:r w:rsidRPr="00A639AF">
        <w:rPr>
          <w:rFonts w:eastAsia="Times New Roman"/>
          <w:lang w:val="" w:eastAsia=""/>
        </w:rPr>
        <w:t>, 119(1), pp. 420–434.</w:t>
      </w:r>
      <w:r w:rsidR="009F2F4D">
        <w:rPr>
          <w:rFonts w:eastAsia="Times New Roman"/>
          <w:lang w:val="" w:eastAsia=""/>
        </w:rPr>
        <w:t xml:space="preserve"> </w:t>
      </w:r>
      <w:r w:rsidR="009F2F4D" w:rsidRPr="009F2F4D">
        <w:rPr>
          <w:rFonts w:eastAsia="Times New Roman"/>
          <w:lang w:eastAsia=""/>
        </w:rPr>
        <w:t>DOI:</w:t>
      </w:r>
      <w:hyperlink r:id="rId8" w:tgtFrame="_blank" w:history="1">
        <w:r w:rsidR="009F2F4D" w:rsidRPr="009F2F4D">
          <w:rPr>
            <w:rStyle w:val="Hyperlink"/>
            <w:rFonts w:eastAsia="Times New Roman"/>
            <w:lang w:eastAsia=""/>
          </w:rPr>
          <w:t>10.1017/S0003055424000364</w:t>
        </w:r>
      </w:hyperlink>
    </w:p>
    <w:p w14:paraId="7EE6A099" w14:textId="0BD0AF75" w:rsidR="00C644F3" w:rsidRPr="00A639AF" w:rsidRDefault="00231172" w:rsidP="00A639AF">
      <w:pPr>
        <w:spacing w:after="0" w:line="480" w:lineRule="auto"/>
        <w:ind w:left="720" w:hanging="720"/>
        <w:contextualSpacing/>
        <w:rPr>
          <w:rFonts w:eastAsia="Times New Roman"/>
          <w:lang w:val="" w:eastAsia=""/>
        </w:rPr>
      </w:pPr>
      <w:r w:rsidRPr="00A639AF">
        <w:rPr>
          <w:rFonts w:eastAsia="Times New Roman"/>
          <w:lang w:val="" w:eastAsia=""/>
        </w:rPr>
        <w:t xml:space="preserve">Alzoubi, H.M., Tan, C.L., El Khatib, M., Alshurideh, M.T., Shwedeh, F., Yanamandra, R., and Lee, K.L. (2025). Smart Government Initiatives: Transforming Global Supply Chains through Digital Change. </w:t>
      </w:r>
      <w:r w:rsidRPr="00A639AF">
        <w:rPr>
          <w:rFonts w:eastAsia="Times New Roman"/>
          <w:i/>
          <w:iCs/>
          <w:lang w:val="" w:eastAsia=""/>
        </w:rPr>
        <w:t>International Review of Management and Marketing</w:t>
      </w:r>
      <w:r w:rsidRPr="00A639AF">
        <w:rPr>
          <w:rFonts w:eastAsia="Times New Roman"/>
          <w:lang w:val="" w:eastAsia=""/>
        </w:rPr>
        <w:t>, 15(3), p. 209.</w:t>
      </w:r>
      <w:r w:rsidR="009F2F4D">
        <w:rPr>
          <w:rFonts w:eastAsia="Times New Roman"/>
          <w:lang w:val="" w:eastAsia=""/>
        </w:rPr>
        <w:t xml:space="preserve"> </w:t>
      </w:r>
      <w:r w:rsidR="009F2F4D" w:rsidRPr="009F2F4D">
        <w:rPr>
          <w:rFonts w:eastAsia="Times New Roman"/>
          <w:lang w:eastAsia=""/>
        </w:rPr>
        <w:t>DOI:</w:t>
      </w:r>
      <w:hyperlink r:id="rId9" w:tgtFrame="_blank" w:history="1">
        <w:r w:rsidR="009F2F4D" w:rsidRPr="009F2F4D">
          <w:rPr>
            <w:rStyle w:val="Hyperlink"/>
            <w:rFonts w:eastAsia="Times New Roman"/>
            <w:lang w:eastAsia=""/>
          </w:rPr>
          <w:t>10.32479/irmm.18962</w:t>
        </w:r>
      </w:hyperlink>
    </w:p>
    <w:p w14:paraId="7D4ED4CD" w14:textId="0A0A6A24" w:rsidR="00C644F3" w:rsidRPr="00A639AF" w:rsidRDefault="00231172" w:rsidP="00A639AF">
      <w:pPr>
        <w:spacing w:after="0" w:line="480" w:lineRule="auto"/>
        <w:ind w:left="720" w:hanging="720"/>
        <w:contextualSpacing/>
        <w:rPr>
          <w:rFonts w:eastAsia="Times New Roman"/>
          <w:lang w:val="" w:eastAsia=""/>
        </w:rPr>
      </w:pPr>
      <w:r w:rsidRPr="00A639AF">
        <w:rPr>
          <w:rFonts w:eastAsia="Times New Roman"/>
          <w:lang w:val="" w:eastAsia=""/>
        </w:rPr>
        <w:t xml:space="preserve">Bamber, P., Fernandez-Stark, K., Gereffi, G. and Guinn, A. (2014). </w:t>
      </w:r>
      <w:r w:rsidRPr="00A639AF">
        <w:rPr>
          <w:rFonts w:eastAsia="Times New Roman"/>
          <w:i/>
          <w:iCs/>
          <w:lang w:val="" w:eastAsia=""/>
        </w:rPr>
        <w:t>Connecting local producers in developing countries to regional and global value chains: update</w:t>
      </w:r>
      <w:r w:rsidRPr="00A639AF">
        <w:rPr>
          <w:rFonts w:eastAsia="Times New Roman"/>
          <w:lang w:val="" w:eastAsia=""/>
        </w:rPr>
        <w:t>. Washington, DC: World Bank.</w:t>
      </w:r>
      <w:r w:rsidR="009F2F4D">
        <w:rPr>
          <w:rFonts w:eastAsia="Times New Roman"/>
          <w:lang w:val="" w:eastAsia=""/>
        </w:rPr>
        <w:t xml:space="preserve"> </w:t>
      </w:r>
      <w:r w:rsidR="009F2F4D" w:rsidRPr="009F2F4D">
        <w:rPr>
          <w:rFonts w:eastAsia="Times New Roman"/>
          <w:lang w:eastAsia=""/>
        </w:rPr>
        <w:t>https://doi.org/10.1787/5jzb95f1885l-en</w:t>
      </w:r>
    </w:p>
    <w:p w14:paraId="35A4CE7E" w14:textId="77777777" w:rsidR="00C644F3" w:rsidRPr="00A639AF" w:rsidRDefault="00231172" w:rsidP="00A639AF">
      <w:pPr>
        <w:spacing w:after="0" w:line="480" w:lineRule="auto"/>
        <w:ind w:left="720" w:hanging="720"/>
        <w:contextualSpacing/>
        <w:rPr>
          <w:rFonts w:eastAsia="Times New Roman"/>
          <w:lang w:val="" w:eastAsia=""/>
        </w:rPr>
      </w:pPr>
      <w:r w:rsidRPr="00A639AF">
        <w:rPr>
          <w:rFonts w:eastAsia="Times New Roman"/>
          <w:lang w:val="" w:eastAsia=""/>
        </w:rPr>
        <w:t xml:space="preserve">Better Work. (2025). </w:t>
      </w:r>
      <w:r w:rsidRPr="00A639AF">
        <w:rPr>
          <w:rFonts w:eastAsia="Times New Roman"/>
          <w:i/>
          <w:iCs/>
          <w:lang w:val="" w:eastAsia=""/>
        </w:rPr>
        <w:t>Annual Report: Labour Standards in the Vietnamese Garment Sector</w:t>
      </w:r>
      <w:r w:rsidRPr="00A639AF">
        <w:rPr>
          <w:rFonts w:eastAsia="Times New Roman"/>
          <w:lang w:val="" w:eastAsia=""/>
        </w:rPr>
        <w:t xml:space="preserve">. [Online] Available at: </w:t>
      </w:r>
      <w:hyperlink r:id="rId10" w:tgtFrame="_blank" w:history="1">
        <w:r w:rsidR="00C644F3" w:rsidRPr="00A639AF">
          <w:rPr>
            <w:rFonts w:eastAsia="Times New Roman"/>
            <w:color w:val="0000FF"/>
            <w:u w:val="single"/>
            <w:lang w:val="" w:eastAsia=""/>
          </w:rPr>
          <w:t>https://betterwork.org/</w:t>
        </w:r>
      </w:hyperlink>
      <w:r w:rsidRPr="00A639AF">
        <w:rPr>
          <w:rFonts w:eastAsia="Times New Roman"/>
          <w:lang w:val="" w:eastAsia=""/>
        </w:rPr>
        <w:t xml:space="preserve"> [Accessed 18 March 2026].</w:t>
      </w:r>
    </w:p>
    <w:p w14:paraId="62AD8A21" w14:textId="7B0FB9B3" w:rsidR="00C644F3" w:rsidRPr="00A639AF" w:rsidRDefault="00231172" w:rsidP="00A639AF">
      <w:pPr>
        <w:spacing w:after="0" w:line="480" w:lineRule="auto"/>
        <w:ind w:left="720" w:hanging="720"/>
        <w:contextualSpacing/>
        <w:rPr>
          <w:rFonts w:eastAsia="Times New Roman"/>
          <w:lang w:val="" w:eastAsia=""/>
        </w:rPr>
      </w:pPr>
      <w:r w:rsidRPr="00A639AF">
        <w:rPr>
          <w:rFonts w:eastAsia="Times New Roman"/>
          <w:lang w:val="" w:eastAsia=""/>
        </w:rPr>
        <w:t xml:space="preserve">Chen, J., Zhao, C., Liu, S., and Li, Y. (2025). How do digitalizing ICT and supply chain globalization affect renewable energy in ASEAN nations? The mediating role of sustainable environmental practices. </w:t>
      </w:r>
      <w:r w:rsidRPr="00A639AF">
        <w:rPr>
          <w:rFonts w:eastAsia="Times New Roman"/>
          <w:i/>
          <w:iCs/>
          <w:lang w:val="" w:eastAsia=""/>
        </w:rPr>
        <w:t>Energy Economics</w:t>
      </w:r>
      <w:r w:rsidRPr="00A639AF">
        <w:rPr>
          <w:rFonts w:eastAsia="Times New Roman"/>
          <w:lang w:val="" w:eastAsia=""/>
        </w:rPr>
        <w:t>, 142, 108166.</w:t>
      </w:r>
      <w:r w:rsidR="009F2F4D">
        <w:rPr>
          <w:rFonts w:eastAsia="Times New Roman"/>
          <w:lang w:val="" w:eastAsia=""/>
        </w:rPr>
        <w:t xml:space="preserve"> </w:t>
      </w:r>
      <w:r w:rsidR="009F2F4D" w:rsidRPr="009F2F4D">
        <w:rPr>
          <w:rFonts w:eastAsia="Times New Roman"/>
          <w:lang w:eastAsia=""/>
        </w:rPr>
        <w:t>DOI: 10.1016/j.eneco.2024.108166</w:t>
      </w:r>
    </w:p>
    <w:p w14:paraId="3698F6D2" w14:textId="77777777" w:rsidR="00C644F3" w:rsidRPr="00A639AF" w:rsidRDefault="00231172" w:rsidP="00A639AF">
      <w:pPr>
        <w:spacing w:after="0" w:line="480" w:lineRule="auto"/>
        <w:ind w:left="720" w:hanging="720"/>
        <w:contextualSpacing/>
        <w:rPr>
          <w:rFonts w:eastAsia="Times New Roman"/>
          <w:lang w:val="" w:eastAsia=""/>
        </w:rPr>
      </w:pPr>
      <w:r w:rsidRPr="00A639AF">
        <w:rPr>
          <w:rFonts w:eastAsia="Times New Roman"/>
          <w:lang w:val="" w:eastAsia=""/>
        </w:rPr>
        <w:t xml:space="preserve">Cook, S. and Rani, U. (2025). Platform work in developing economies: can digitalisation drive structural transformation? </w:t>
      </w:r>
      <w:r w:rsidRPr="00A639AF">
        <w:rPr>
          <w:rFonts w:eastAsia="Times New Roman"/>
          <w:i/>
          <w:iCs/>
          <w:lang w:val="" w:eastAsia=""/>
        </w:rPr>
        <w:t>The Indian Journal of Labour Economics</w:t>
      </w:r>
      <w:r w:rsidRPr="00A639AF">
        <w:rPr>
          <w:rFonts w:eastAsia="Times New Roman"/>
          <w:lang w:val="" w:eastAsia=""/>
        </w:rPr>
        <w:t>, 68(2), pp. 395–416.</w:t>
      </w:r>
    </w:p>
    <w:p w14:paraId="2541A02C" w14:textId="77777777" w:rsidR="00C644F3" w:rsidRPr="00A639AF" w:rsidRDefault="00231172" w:rsidP="00A639AF">
      <w:pPr>
        <w:spacing w:after="0" w:line="480" w:lineRule="auto"/>
        <w:ind w:left="720" w:hanging="720"/>
        <w:contextualSpacing/>
        <w:rPr>
          <w:rFonts w:eastAsia="Times New Roman"/>
          <w:lang w:val="" w:eastAsia=""/>
        </w:rPr>
      </w:pPr>
      <w:r w:rsidRPr="00A639AF">
        <w:rPr>
          <w:rFonts w:eastAsia="Times New Roman"/>
          <w:lang w:val="" w:eastAsia=""/>
        </w:rPr>
        <w:t xml:space="preserve">Dicken, P. (2011). </w:t>
      </w:r>
      <w:r w:rsidRPr="00A639AF">
        <w:rPr>
          <w:rFonts w:eastAsia="Times New Roman"/>
          <w:i/>
          <w:iCs/>
          <w:lang w:val="" w:eastAsia=""/>
        </w:rPr>
        <w:t>Global shift, sixth edition: Mapping the changing contours of the world economy</w:t>
      </w:r>
      <w:r w:rsidRPr="00A639AF">
        <w:rPr>
          <w:rFonts w:eastAsia="Times New Roman"/>
          <w:lang w:val="" w:eastAsia=""/>
        </w:rPr>
        <w:t>. New York: Guilford Publications.</w:t>
      </w:r>
    </w:p>
    <w:p w14:paraId="5AC3B90E" w14:textId="6F7A1C5C" w:rsidR="00C644F3" w:rsidRPr="00A639AF" w:rsidRDefault="00231172" w:rsidP="00A639AF">
      <w:pPr>
        <w:spacing w:after="0" w:line="480" w:lineRule="auto"/>
        <w:ind w:left="720" w:hanging="720"/>
        <w:contextualSpacing/>
        <w:rPr>
          <w:rFonts w:eastAsia="Times New Roman"/>
          <w:lang w:val="" w:eastAsia=""/>
        </w:rPr>
      </w:pPr>
      <w:r w:rsidRPr="00A639AF">
        <w:rPr>
          <w:rFonts w:eastAsia="Times New Roman"/>
          <w:lang w:val="" w:eastAsia=""/>
        </w:rPr>
        <w:t xml:space="preserve">Gereffi, G. (1994). The Organization of Buyer-Driven Global Commodity Chains: How U.S. Retailers Shape Overseas Production Networks. In: Gereffi, G. and Korzeniewicz, M. </w:t>
      </w:r>
      <w:r w:rsidRPr="00A639AF">
        <w:rPr>
          <w:rFonts w:eastAsia="Times New Roman"/>
          <w:lang w:val="" w:eastAsia=""/>
        </w:rPr>
        <w:lastRenderedPageBreak/>
        <w:t xml:space="preserve">(eds.) </w:t>
      </w:r>
      <w:r w:rsidRPr="00A639AF">
        <w:rPr>
          <w:rFonts w:eastAsia="Times New Roman"/>
          <w:i/>
          <w:iCs/>
          <w:lang w:val="" w:eastAsia=""/>
        </w:rPr>
        <w:t>Commodity Chains and Global Capitalism</w:t>
      </w:r>
      <w:r w:rsidRPr="00A639AF">
        <w:rPr>
          <w:rFonts w:eastAsia="Times New Roman"/>
          <w:lang w:val="" w:eastAsia=""/>
        </w:rPr>
        <w:t>. London: Praeger, pp. 95–122.</w:t>
      </w:r>
      <w:r w:rsidR="009F2F4D">
        <w:rPr>
          <w:rFonts w:eastAsia="Times New Roman"/>
          <w:lang w:val="" w:eastAsia=""/>
        </w:rPr>
        <w:t xml:space="preserve"> </w:t>
      </w:r>
      <w:r w:rsidR="009F2F4D" w:rsidRPr="009F2F4D">
        <w:rPr>
          <w:rFonts w:eastAsia="Times New Roman"/>
          <w:lang w:eastAsia=""/>
        </w:rPr>
        <w:t>DOI:</w:t>
      </w:r>
      <w:hyperlink r:id="rId11" w:tgtFrame="_blank" w:history="1">
        <w:r w:rsidR="009F2F4D" w:rsidRPr="009F2F4D">
          <w:rPr>
            <w:rStyle w:val="Hyperlink"/>
            <w:rFonts w:eastAsia="Times New Roman"/>
            <w:lang w:eastAsia=""/>
          </w:rPr>
          <w:t>10.1017/9781108559423.003</w:t>
        </w:r>
      </w:hyperlink>
    </w:p>
    <w:p w14:paraId="219F2F0C" w14:textId="0779340D" w:rsidR="00C644F3" w:rsidRPr="00A639AF" w:rsidRDefault="00231172" w:rsidP="00A639AF">
      <w:pPr>
        <w:spacing w:after="0" w:line="480" w:lineRule="auto"/>
        <w:ind w:left="720" w:hanging="720"/>
        <w:contextualSpacing/>
        <w:rPr>
          <w:rFonts w:eastAsia="Times New Roman"/>
          <w:lang w:val="" w:eastAsia=""/>
        </w:rPr>
      </w:pPr>
      <w:r w:rsidRPr="00A639AF">
        <w:rPr>
          <w:rFonts w:eastAsia="Times New Roman"/>
          <w:lang w:val="" w:eastAsia=""/>
        </w:rPr>
        <w:t xml:space="preserve">Gereffi, G. (2019). Global value chains, development, and emerging economies. In: </w:t>
      </w:r>
      <w:r w:rsidRPr="00A639AF">
        <w:rPr>
          <w:rFonts w:eastAsia="Times New Roman"/>
          <w:i/>
          <w:iCs/>
          <w:lang w:val="" w:eastAsia=""/>
        </w:rPr>
        <w:t>Business and development studies</w:t>
      </w:r>
      <w:r w:rsidRPr="00A639AF">
        <w:rPr>
          <w:rFonts w:eastAsia="Times New Roman"/>
          <w:lang w:val="" w:eastAsia=""/>
        </w:rPr>
        <w:t>. Abingdon: Routledge, pp. 125–158.</w:t>
      </w:r>
      <w:r w:rsidR="009F2F4D">
        <w:rPr>
          <w:rFonts w:eastAsia="Times New Roman"/>
          <w:lang w:val="" w:eastAsia=""/>
        </w:rPr>
        <w:t xml:space="preserve"> </w:t>
      </w:r>
      <w:r w:rsidR="009F2F4D" w:rsidRPr="009F2F4D">
        <w:rPr>
          <w:rFonts w:eastAsia="Times New Roman"/>
          <w:lang w:eastAsia=""/>
        </w:rPr>
        <w:t>DOI:</w:t>
      </w:r>
      <w:hyperlink r:id="rId12" w:tgtFrame="_blank" w:history="1">
        <w:r w:rsidR="009F2F4D" w:rsidRPr="009F2F4D">
          <w:rPr>
            <w:rStyle w:val="Hyperlink"/>
            <w:rFonts w:eastAsia="Times New Roman"/>
            <w:lang w:eastAsia=""/>
          </w:rPr>
          <w:t>10.4324/9781315163338-6</w:t>
        </w:r>
      </w:hyperlink>
    </w:p>
    <w:p w14:paraId="1322EE7F" w14:textId="524AFE32" w:rsidR="00C644F3" w:rsidRPr="00A639AF" w:rsidRDefault="00231172" w:rsidP="00A639AF">
      <w:pPr>
        <w:spacing w:after="0" w:line="480" w:lineRule="auto"/>
        <w:ind w:left="720" w:hanging="720"/>
        <w:contextualSpacing/>
        <w:rPr>
          <w:rFonts w:eastAsia="Times New Roman"/>
          <w:lang w:val="" w:eastAsia=""/>
        </w:rPr>
      </w:pPr>
      <w:r w:rsidRPr="00A639AF">
        <w:rPr>
          <w:rFonts w:eastAsia="Times New Roman"/>
          <w:lang w:val="" w:eastAsia=""/>
        </w:rPr>
        <w:t xml:space="preserve">Lee, C.C. and Wen, H. (2025). Global value chain embedding and enterprise energy efficiency: a worldwide firm-level analysis. </w:t>
      </w:r>
      <w:r w:rsidRPr="00A639AF">
        <w:rPr>
          <w:rFonts w:eastAsia="Times New Roman"/>
          <w:i/>
          <w:iCs/>
          <w:lang w:val="" w:eastAsia=""/>
        </w:rPr>
        <w:t>Renewable and Sustainable Energy Reviews</w:t>
      </w:r>
      <w:r w:rsidRPr="00A639AF">
        <w:rPr>
          <w:rFonts w:eastAsia="Times New Roman"/>
          <w:lang w:val="" w:eastAsia=""/>
        </w:rPr>
        <w:t>, 207, 114955.</w:t>
      </w:r>
      <w:r w:rsidR="009F2F4D">
        <w:rPr>
          <w:rFonts w:eastAsia="Times New Roman"/>
          <w:lang w:val="" w:eastAsia=""/>
        </w:rPr>
        <w:t xml:space="preserve"> </w:t>
      </w:r>
      <w:r w:rsidR="009F2F4D" w:rsidRPr="009F2F4D">
        <w:rPr>
          <w:rFonts w:eastAsia="Times New Roman"/>
          <w:lang w:eastAsia=""/>
        </w:rPr>
        <w:t>DOI: 10.1016/j.rser.2024.114955</w:t>
      </w:r>
    </w:p>
    <w:p w14:paraId="7BB11F44" w14:textId="17AE76EE" w:rsidR="00C644F3" w:rsidRPr="005E1703" w:rsidRDefault="00231172" w:rsidP="00EE5881">
      <w:pPr>
        <w:spacing w:after="0" w:line="480" w:lineRule="auto"/>
        <w:ind w:left="720" w:hanging="720"/>
        <w:contextualSpacing/>
        <w:rPr>
          <w:rFonts w:eastAsia="Times New Roman"/>
          <w:lang w:val="en-US" w:eastAsia=""/>
        </w:rPr>
      </w:pPr>
      <w:r w:rsidRPr="00A639AF">
        <w:rPr>
          <w:rFonts w:eastAsia="Times New Roman"/>
          <w:lang w:val="" w:eastAsia=""/>
        </w:rPr>
        <w:t xml:space="preserve">Nyagadza, B., Pashapa, R., Chare, A., Mazuruse, G., and Hove, P.K. (2022). Digital technologies, Fourth Industrial Revolution (4IR) &amp; Global Value Chains (GVCs) nexus with emerging economies’ future industrial innovation dynamics. </w:t>
      </w:r>
      <w:r w:rsidRPr="00A639AF">
        <w:rPr>
          <w:rFonts w:eastAsia="Times New Roman"/>
          <w:i/>
          <w:iCs/>
          <w:lang w:val="" w:eastAsia=""/>
        </w:rPr>
        <w:t>Cogent Economics &amp; Finance</w:t>
      </w:r>
      <w:r w:rsidRPr="00A639AF">
        <w:rPr>
          <w:rFonts w:eastAsia="Times New Roman"/>
          <w:lang w:val="" w:eastAsia=""/>
        </w:rPr>
        <w:t>, 10(1), 2014654.</w:t>
      </w:r>
      <w:r w:rsidR="005E1703">
        <w:rPr>
          <w:rFonts w:eastAsia="Times New Roman"/>
          <w:lang w:val="" w:eastAsia=""/>
        </w:rPr>
        <w:t xml:space="preserve"> </w:t>
      </w:r>
      <w:hyperlink r:id="rId13" w:history="1">
        <w:r w:rsidR="005E1703" w:rsidRPr="005E1703">
          <w:rPr>
            <w:rStyle w:val="Hyperlink"/>
            <w:rFonts w:eastAsia="Times New Roman"/>
            <w:lang w:val="en-US" w:eastAsia=""/>
          </w:rPr>
          <w:t>https://doi.org/10.1080/23322039.2021.2014654</w:t>
        </w:r>
      </w:hyperlink>
    </w:p>
    <w:p w14:paraId="55096CB6" w14:textId="01FB2560" w:rsidR="00C644F3" w:rsidRPr="00A639AF" w:rsidRDefault="00231172" w:rsidP="00A639AF">
      <w:pPr>
        <w:spacing w:after="0" w:line="480" w:lineRule="auto"/>
        <w:ind w:left="720" w:hanging="720"/>
        <w:contextualSpacing/>
        <w:rPr>
          <w:rFonts w:eastAsia="Times New Roman"/>
          <w:lang w:val="" w:eastAsia=""/>
        </w:rPr>
      </w:pPr>
      <w:r w:rsidRPr="00A639AF">
        <w:rPr>
          <w:rFonts w:eastAsia="Times New Roman"/>
          <w:lang w:val="" w:eastAsia=""/>
        </w:rPr>
        <w:t xml:space="preserve">Panwar, R., Pinkse, J. and De Marchi, V. (2022). The future of global supply chains in a post-COVID-19 world. </w:t>
      </w:r>
      <w:r w:rsidRPr="00A639AF">
        <w:rPr>
          <w:rFonts w:eastAsia="Times New Roman"/>
          <w:i/>
          <w:iCs/>
          <w:lang w:val="" w:eastAsia=""/>
        </w:rPr>
        <w:t>California Management Review</w:t>
      </w:r>
      <w:r w:rsidRPr="00A639AF">
        <w:rPr>
          <w:rFonts w:eastAsia="Times New Roman"/>
          <w:lang w:val="" w:eastAsia=""/>
        </w:rPr>
        <w:t>, 64(2), pp. 5–23.</w:t>
      </w:r>
      <w:r w:rsidR="005E1703">
        <w:rPr>
          <w:rFonts w:eastAsia="Times New Roman"/>
          <w:lang w:val="" w:eastAsia=""/>
        </w:rPr>
        <w:t xml:space="preserve"> </w:t>
      </w:r>
      <w:r w:rsidR="005E1703" w:rsidRPr="005E1703">
        <w:rPr>
          <w:rFonts w:eastAsia="Times New Roman"/>
          <w:lang w:eastAsia=""/>
        </w:rPr>
        <w:t>DOI: 10.1177/00081256211073355</w:t>
      </w:r>
    </w:p>
    <w:p w14:paraId="659C6971" w14:textId="04F2EA6A" w:rsidR="00C644F3" w:rsidRPr="00A639AF" w:rsidRDefault="00231172" w:rsidP="00A639AF">
      <w:pPr>
        <w:spacing w:after="0" w:line="480" w:lineRule="auto"/>
        <w:ind w:left="720" w:hanging="720"/>
        <w:contextualSpacing/>
        <w:rPr>
          <w:rFonts w:eastAsia="Times New Roman"/>
          <w:lang w:val="" w:eastAsia=""/>
        </w:rPr>
      </w:pPr>
      <w:r w:rsidRPr="00A639AF">
        <w:rPr>
          <w:rFonts w:eastAsia="Times New Roman"/>
          <w:lang w:val="" w:eastAsia=""/>
        </w:rPr>
        <w:t xml:space="preserve">Qin, M., Su, C.W., Umar, M., Lobonţ, O.R. and Manta, A.G. (2023). Are climate and geopolitics the challenges to sustainable development? Novel evidence from the global supply chain. </w:t>
      </w:r>
      <w:r w:rsidRPr="00A639AF">
        <w:rPr>
          <w:rFonts w:eastAsia="Times New Roman"/>
          <w:i/>
          <w:iCs/>
          <w:lang w:val="" w:eastAsia=""/>
        </w:rPr>
        <w:t>Economic Analysis and Policy</w:t>
      </w:r>
      <w:r w:rsidRPr="00A639AF">
        <w:rPr>
          <w:rFonts w:eastAsia="Times New Roman"/>
          <w:lang w:val="" w:eastAsia=""/>
        </w:rPr>
        <w:t>, 77, pp. 748–763.</w:t>
      </w:r>
      <w:r w:rsidR="005E1703">
        <w:rPr>
          <w:rFonts w:eastAsia="Times New Roman"/>
          <w:lang w:val="" w:eastAsia=""/>
        </w:rPr>
        <w:t xml:space="preserve"> </w:t>
      </w:r>
      <w:r w:rsidR="005E1703" w:rsidRPr="005E1703">
        <w:rPr>
          <w:rFonts w:eastAsia="Times New Roman"/>
          <w:lang w:eastAsia=""/>
        </w:rPr>
        <w:t>DOI: 10.1016/j.eap.2023.01.002</w:t>
      </w:r>
    </w:p>
    <w:p w14:paraId="7134FE96" w14:textId="77777777" w:rsidR="005E1703" w:rsidRDefault="00231172" w:rsidP="005E1703">
      <w:pPr>
        <w:spacing w:after="0" w:line="480" w:lineRule="auto"/>
        <w:ind w:left="720" w:hanging="720"/>
        <w:contextualSpacing/>
        <w:rPr>
          <w:rFonts w:eastAsia="Times New Roman"/>
          <w:lang w:val="" w:eastAsia=""/>
        </w:rPr>
      </w:pPr>
      <w:r w:rsidRPr="00A639AF">
        <w:rPr>
          <w:rFonts w:eastAsia="Times New Roman"/>
          <w:lang w:val="" w:eastAsia=""/>
        </w:rPr>
        <w:t xml:space="preserve">Riccio, F., Cresti, L., and Virgillito, M.E. (2025). The labour share along global value chains: perspectives and evidence from sectoral interdependence. </w:t>
      </w:r>
      <w:r w:rsidRPr="00A639AF">
        <w:rPr>
          <w:rFonts w:eastAsia="Times New Roman"/>
          <w:i/>
          <w:iCs/>
          <w:lang w:val="" w:eastAsia=""/>
        </w:rPr>
        <w:t>Review of World Economics</w:t>
      </w:r>
      <w:r w:rsidRPr="00A639AF">
        <w:rPr>
          <w:rFonts w:eastAsia="Times New Roman"/>
          <w:lang w:val="" w:eastAsia=""/>
        </w:rPr>
        <w:t>, 161(2), pp. 635–684.</w:t>
      </w:r>
      <w:r w:rsidR="005E1703">
        <w:rPr>
          <w:rFonts w:eastAsia="Times New Roman"/>
          <w:lang w:val="" w:eastAsia=""/>
        </w:rPr>
        <w:t xml:space="preserve"> </w:t>
      </w:r>
      <w:r w:rsidR="005E1703" w:rsidRPr="005E1703">
        <w:rPr>
          <w:rFonts w:eastAsia="Times New Roman"/>
          <w:lang w:eastAsia=""/>
        </w:rPr>
        <w:t>DOI: 10.1007/s10290-024-00555-3</w:t>
      </w:r>
    </w:p>
    <w:p w14:paraId="25F59EF3" w14:textId="6716CFF6" w:rsidR="005E1703" w:rsidRPr="005E1703" w:rsidRDefault="00231172" w:rsidP="005E1703">
      <w:pPr>
        <w:spacing w:after="0" w:line="480" w:lineRule="auto"/>
        <w:ind w:left="720" w:hanging="720"/>
        <w:contextualSpacing/>
        <w:rPr>
          <w:rFonts w:eastAsia="Times New Roman"/>
          <w:lang w:val="" w:eastAsia=""/>
        </w:rPr>
      </w:pPr>
      <w:r w:rsidRPr="00A639AF">
        <w:rPr>
          <w:rFonts w:eastAsia="Times New Roman"/>
          <w:lang w:val="" w:eastAsia=""/>
        </w:rPr>
        <w:lastRenderedPageBreak/>
        <w:t xml:space="preserve">Riccio, F., Dosi, G. and Virgillito, M.E. (2025). Functional specialisation and income distribution along global value chains. </w:t>
      </w:r>
      <w:r w:rsidRPr="00A639AF">
        <w:rPr>
          <w:rFonts w:eastAsia="Times New Roman"/>
          <w:i/>
          <w:iCs/>
          <w:lang w:val="" w:eastAsia=""/>
        </w:rPr>
        <w:t>Economic Systems Research</w:t>
      </w:r>
      <w:r w:rsidRPr="00A639AF">
        <w:rPr>
          <w:rFonts w:eastAsia="Times New Roman"/>
          <w:lang w:val="" w:eastAsia=""/>
        </w:rPr>
        <w:t>, 37(1), pp. 116–147.</w:t>
      </w:r>
      <w:r w:rsidR="005E1703">
        <w:rPr>
          <w:rFonts w:eastAsia="Times New Roman"/>
          <w:lang w:val="" w:eastAsia=""/>
        </w:rPr>
        <w:t xml:space="preserve"> </w:t>
      </w:r>
      <w:hyperlink r:id="rId14" w:history="1">
        <w:r w:rsidR="005E1703" w:rsidRPr="005E1703">
          <w:rPr>
            <w:rStyle w:val="Hyperlink"/>
            <w:rFonts w:eastAsia="Times New Roman"/>
            <w:lang w:val="en-US" w:eastAsia=""/>
          </w:rPr>
          <w:t>https://doi.org/10.1080/09535314.2024.2406877</w:t>
        </w:r>
      </w:hyperlink>
    </w:p>
    <w:p w14:paraId="60120DFB" w14:textId="1AB80F1A" w:rsidR="00C644F3" w:rsidRPr="00A639AF" w:rsidRDefault="00231172" w:rsidP="00A639AF">
      <w:pPr>
        <w:spacing w:after="0" w:line="480" w:lineRule="auto"/>
        <w:ind w:left="720" w:hanging="720"/>
        <w:contextualSpacing/>
        <w:rPr>
          <w:rFonts w:eastAsia="Times New Roman"/>
          <w:lang w:val="" w:eastAsia=""/>
        </w:rPr>
      </w:pPr>
      <w:r w:rsidRPr="00A639AF">
        <w:rPr>
          <w:rFonts w:eastAsia="Times New Roman"/>
          <w:lang w:val="" w:eastAsia=""/>
        </w:rPr>
        <w:t xml:space="preserve">Soundararajan, V., Khan, Z. and Tarba, S.Y. (2018). Beyond brokering: Sourcing agents, boundary work and working conditions in global supply chains. </w:t>
      </w:r>
      <w:r w:rsidRPr="00A639AF">
        <w:rPr>
          <w:rFonts w:eastAsia="Times New Roman"/>
          <w:i/>
          <w:iCs/>
          <w:lang w:val="" w:eastAsia=""/>
        </w:rPr>
        <w:t>Human Relations</w:t>
      </w:r>
      <w:r w:rsidRPr="00A639AF">
        <w:rPr>
          <w:rFonts w:eastAsia="Times New Roman"/>
          <w:lang w:val="" w:eastAsia=""/>
        </w:rPr>
        <w:t>, 71(4), pp. 481–509.</w:t>
      </w:r>
      <w:r w:rsidR="005E1703">
        <w:rPr>
          <w:rFonts w:eastAsia="Times New Roman"/>
          <w:lang w:val="" w:eastAsia=""/>
        </w:rPr>
        <w:t xml:space="preserve"> </w:t>
      </w:r>
      <w:hyperlink r:id="rId15" w:history="1">
        <w:r w:rsidR="005E1703" w:rsidRPr="005E1703">
          <w:rPr>
            <w:rStyle w:val="Hyperlink"/>
            <w:rFonts w:eastAsia="Times New Roman"/>
            <w:lang w:eastAsia=""/>
          </w:rPr>
          <w:t>10.1177/0018726716684200</w:t>
        </w:r>
      </w:hyperlink>
    </w:p>
    <w:p w14:paraId="40635263" w14:textId="77777777" w:rsidR="005E1703" w:rsidRDefault="00231172" w:rsidP="005E1703">
      <w:pPr>
        <w:spacing w:after="0" w:line="480" w:lineRule="auto"/>
        <w:ind w:left="720" w:hanging="720"/>
        <w:contextualSpacing/>
        <w:rPr>
          <w:rFonts w:eastAsia="Times New Roman"/>
          <w:lang w:val="" w:eastAsia=""/>
        </w:rPr>
      </w:pPr>
      <w:r w:rsidRPr="00A639AF">
        <w:rPr>
          <w:rFonts w:eastAsia="Times New Roman"/>
          <w:lang w:val="" w:eastAsia=""/>
        </w:rPr>
        <w:t xml:space="preserve">Sturgeon, T.J. and Van Biesebroeck, J. (2011). Global value chains in the automotive industry: an enhanced role for developing countries? </w:t>
      </w:r>
      <w:r w:rsidRPr="00A639AF">
        <w:rPr>
          <w:rFonts w:eastAsia="Times New Roman"/>
          <w:i/>
          <w:iCs/>
          <w:lang w:val="" w:eastAsia=""/>
        </w:rPr>
        <w:t>International Journal of Technological Learning, Innovation and Development</w:t>
      </w:r>
      <w:r w:rsidRPr="00A639AF">
        <w:rPr>
          <w:rFonts w:eastAsia="Times New Roman"/>
          <w:lang w:val="" w:eastAsia=""/>
        </w:rPr>
        <w:t>, 4(1-3), pp. 181–205.</w:t>
      </w:r>
    </w:p>
    <w:p w14:paraId="6EA9E9A9" w14:textId="49DD0DB2" w:rsidR="00C644F3" w:rsidRPr="005E1703" w:rsidRDefault="00231172" w:rsidP="005E1703">
      <w:pPr>
        <w:spacing w:after="0" w:line="480" w:lineRule="auto"/>
        <w:ind w:left="720" w:hanging="720"/>
        <w:contextualSpacing/>
        <w:rPr>
          <w:rFonts w:eastAsia="Times New Roman"/>
          <w:lang w:val="" w:eastAsia=""/>
        </w:rPr>
      </w:pPr>
      <w:r w:rsidRPr="00A639AF">
        <w:rPr>
          <w:rFonts w:eastAsia="Times New Roman"/>
          <w:lang w:val="" w:eastAsia=""/>
        </w:rPr>
        <w:t xml:space="preserve">Sun, Y., Zhu, S., Wang, D., Duan, J., Lu, H., Yin, H., and Guan, D. (2024). Global supply chains amplify economic costs of future extreme heat risk. </w:t>
      </w:r>
      <w:r w:rsidRPr="00A639AF">
        <w:rPr>
          <w:rFonts w:eastAsia="Times New Roman"/>
          <w:i/>
          <w:iCs/>
          <w:lang w:val="" w:eastAsia=""/>
        </w:rPr>
        <w:t>Nature</w:t>
      </w:r>
      <w:r w:rsidRPr="00A639AF">
        <w:rPr>
          <w:rFonts w:eastAsia="Times New Roman"/>
          <w:lang w:val="" w:eastAsia=""/>
        </w:rPr>
        <w:t>, 627(8005), pp. 797–804.</w:t>
      </w:r>
      <w:r w:rsidR="005E1703">
        <w:rPr>
          <w:rFonts w:eastAsia="Times New Roman"/>
          <w:lang w:val="" w:eastAsia=""/>
        </w:rPr>
        <w:t xml:space="preserve"> </w:t>
      </w:r>
      <w:hyperlink r:id="rId16" w:tgtFrame="_blank" w:history="1">
        <w:r w:rsidR="005E1703" w:rsidRPr="005E1703">
          <w:rPr>
            <w:rStyle w:val="Hyperlink"/>
            <w:rFonts w:eastAsia="Times New Roman"/>
            <w:lang w:val="en-US" w:eastAsia=""/>
          </w:rPr>
          <w:t>10.1038/s41586-024-07147-z</w:t>
        </w:r>
      </w:hyperlink>
    </w:p>
    <w:p w14:paraId="41A4064D" w14:textId="2EE56FB9" w:rsidR="00C644F3" w:rsidRPr="00A639AF" w:rsidRDefault="00C644F3" w:rsidP="00A639AF">
      <w:pPr>
        <w:spacing w:after="0" w:line="480" w:lineRule="auto"/>
        <w:ind w:left="720" w:hanging="720"/>
        <w:contextualSpacing/>
        <w:rPr>
          <w:rFonts w:eastAsia="Times New Roman"/>
          <w:lang w:val="" w:eastAsia=""/>
        </w:rPr>
      </w:pPr>
    </w:p>
    <w:p w14:paraId="6A530AF0" w14:textId="77777777" w:rsidR="00247475" w:rsidRPr="00A639AF" w:rsidRDefault="00247475" w:rsidP="00A639AF">
      <w:pPr>
        <w:pStyle w:val="NormalWeb"/>
        <w:spacing w:before="0" w:beforeAutospacing="0" w:after="0" w:afterAutospacing="0" w:line="480" w:lineRule="auto"/>
        <w:contextualSpacing/>
      </w:pPr>
    </w:p>
    <w:p w14:paraId="3A17BB8B" w14:textId="77777777" w:rsidR="00856636" w:rsidRPr="00A639AF" w:rsidRDefault="00856636" w:rsidP="00A639AF">
      <w:pPr>
        <w:pStyle w:val="NormalWeb"/>
        <w:spacing w:before="0" w:beforeAutospacing="0" w:after="0" w:afterAutospacing="0" w:line="480" w:lineRule="auto"/>
        <w:ind w:left="1077" w:hanging="720"/>
        <w:contextualSpacing/>
      </w:pPr>
    </w:p>
    <w:p w14:paraId="3B82A128" w14:textId="77777777" w:rsidR="00856636" w:rsidRPr="00A639AF" w:rsidRDefault="00856636" w:rsidP="00A639AF">
      <w:pPr>
        <w:spacing w:after="0" w:line="480" w:lineRule="auto"/>
      </w:pPr>
    </w:p>
    <w:p w14:paraId="6EC5F5A5" w14:textId="77777777" w:rsidR="008640E8" w:rsidRPr="00A639AF" w:rsidRDefault="008640E8" w:rsidP="00A639AF">
      <w:pPr>
        <w:spacing w:after="0" w:line="480" w:lineRule="auto"/>
      </w:pPr>
    </w:p>
    <w:sectPr w:rsidR="008640E8" w:rsidRPr="00A639AF" w:rsidSect="007D2CFF">
      <w:headerReference w:type="default" r:id="rId17"/>
      <w:head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10396" w14:textId="77777777" w:rsidR="00757A31" w:rsidRDefault="00757A31">
      <w:pPr>
        <w:spacing w:after="0" w:line="240" w:lineRule="auto"/>
      </w:pPr>
      <w:r>
        <w:separator/>
      </w:r>
    </w:p>
  </w:endnote>
  <w:endnote w:type="continuationSeparator" w:id="0">
    <w:p w14:paraId="773FCAC6" w14:textId="77777777" w:rsidR="00757A31" w:rsidRDefault="00757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43BDA" w14:textId="77777777" w:rsidR="00757A31" w:rsidRDefault="00757A31">
      <w:pPr>
        <w:spacing w:after="0" w:line="240" w:lineRule="auto"/>
      </w:pPr>
      <w:r>
        <w:separator/>
      </w:r>
    </w:p>
  </w:footnote>
  <w:footnote w:type="continuationSeparator" w:id="0">
    <w:p w14:paraId="22501AC5" w14:textId="77777777" w:rsidR="00757A31" w:rsidRDefault="00757A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7EB41" w14:textId="4AB137F7" w:rsidR="007D2CFF" w:rsidRDefault="007D2CFF">
    <w:pPr>
      <w:pStyle w:val="Header"/>
      <w:jc w:val="right"/>
    </w:pPr>
    <w:r>
      <w:t xml:space="preserve">Global Value Chains </w:t>
    </w:r>
    <w:sdt>
      <w:sdtPr>
        <w:id w:val="3092156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6BBABD3" w14:textId="6C13B4B1" w:rsidR="00914DD3" w:rsidRDefault="00914D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115A2" w14:textId="77777777" w:rsidR="007D2CFF" w:rsidRDefault="007D2CFF" w:rsidP="007D2CFF">
    <w:pPr>
      <w:pStyle w:val="Header"/>
    </w:pPr>
    <w:r>
      <w:t>RUNNING HEAD: GLOBAL VALUE CHAINS</w:t>
    </w:r>
  </w:p>
  <w:p w14:paraId="4D9B156C" w14:textId="77777777" w:rsidR="007D2CFF" w:rsidRDefault="007D2C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7D9E"/>
    <w:multiLevelType w:val="multilevel"/>
    <w:tmpl w:val="F7482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56084D"/>
    <w:multiLevelType w:val="multilevel"/>
    <w:tmpl w:val="25A44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2F55DF"/>
    <w:multiLevelType w:val="multilevel"/>
    <w:tmpl w:val="12022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8F6764"/>
    <w:multiLevelType w:val="hybridMultilevel"/>
    <w:tmpl w:val="99A4D810"/>
    <w:lvl w:ilvl="0" w:tplc="97004810">
      <w:start w:val="1"/>
      <w:numFmt w:val="decimal"/>
      <w:lvlText w:val="%1."/>
      <w:lvlJc w:val="left"/>
      <w:pPr>
        <w:ind w:left="720" w:hanging="360"/>
      </w:pPr>
      <w:rPr>
        <w:rFonts w:hint="default"/>
      </w:rPr>
    </w:lvl>
    <w:lvl w:ilvl="1" w:tplc="1B7A61D4" w:tentative="1">
      <w:start w:val="1"/>
      <w:numFmt w:val="lowerLetter"/>
      <w:lvlText w:val="%2."/>
      <w:lvlJc w:val="left"/>
      <w:pPr>
        <w:ind w:left="1440" w:hanging="360"/>
      </w:pPr>
    </w:lvl>
    <w:lvl w:ilvl="2" w:tplc="77461FCE" w:tentative="1">
      <w:start w:val="1"/>
      <w:numFmt w:val="lowerRoman"/>
      <w:lvlText w:val="%3."/>
      <w:lvlJc w:val="right"/>
      <w:pPr>
        <w:ind w:left="2160" w:hanging="180"/>
      </w:pPr>
    </w:lvl>
    <w:lvl w:ilvl="3" w:tplc="9F888C5C" w:tentative="1">
      <w:start w:val="1"/>
      <w:numFmt w:val="decimal"/>
      <w:lvlText w:val="%4."/>
      <w:lvlJc w:val="left"/>
      <w:pPr>
        <w:ind w:left="2880" w:hanging="360"/>
      </w:pPr>
    </w:lvl>
    <w:lvl w:ilvl="4" w:tplc="09320D28" w:tentative="1">
      <w:start w:val="1"/>
      <w:numFmt w:val="lowerLetter"/>
      <w:lvlText w:val="%5."/>
      <w:lvlJc w:val="left"/>
      <w:pPr>
        <w:ind w:left="3600" w:hanging="360"/>
      </w:pPr>
    </w:lvl>
    <w:lvl w:ilvl="5" w:tplc="308258E6" w:tentative="1">
      <w:start w:val="1"/>
      <w:numFmt w:val="lowerRoman"/>
      <w:lvlText w:val="%6."/>
      <w:lvlJc w:val="right"/>
      <w:pPr>
        <w:ind w:left="4320" w:hanging="180"/>
      </w:pPr>
    </w:lvl>
    <w:lvl w:ilvl="6" w:tplc="C98A6036" w:tentative="1">
      <w:start w:val="1"/>
      <w:numFmt w:val="decimal"/>
      <w:lvlText w:val="%7."/>
      <w:lvlJc w:val="left"/>
      <w:pPr>
        <w:ind w:left="5040" w:hanging="360"/>
      </w:pPr>
    </w:lvl>
    <w:lvl w:ilvl="7" w:tplc="6C3C9814" w:tentative="1">
      <w:start w:val="1"/>
      <w:numFmt w:val="lowerLetter"/>
      <w:lvlText w:val="%8."/>
      <w:lvlJc w:val="left"/>
      <w:pPr>
        <w:ind w:left="5760" w:hanging="360"/>
      </w:pPr>
    </w:lvl>
    <w:lvl w:ilvl="8" w:tplc="DA407B98" w:tentative="1">
      <w:start w:val="1"/>
      <w:numFmt w:val="lowerRoman"/>
      <w:lvlText w:val="%9."/>
      <w:lvlJc w:val="right"/>
      <w:pPr>
        <w:ind w:left="6480" w:hanging="180"/>
      </w:pPr>
    </w:lvl>
  </w:abstractNum>
  <w:abstractNum w:abstractNumId="4" w15:restartNumberingAfterBreak="0">
    <w:nsid w:val="44D84863"/>
    <w:multiLevelType w:val="hybridMultilevel"/>
    <w:tmpl w:val="65887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AF1916"/>
    <w:multiLevelType w:val="multilevel"/>
    <w:tmpl w:val="46186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A05D00"/>
    <w:multiLevelType w:val="multilevel"/>
    <w:tmpl w:val="2BC6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B1656E"/>
    <w:multiLevelType w:val="hybridMultilevel"/>
    <w:tmpl w:val="0EEE3EC6"/>
    <w:lvl w:ilvl="0" w:tplc="7EB206FE">
      <w:start w:val="1"/>
      <w:numFmt w:val="bullet"/>
      <w:lvlText w:val="•"/>
      <w:lvlJc w:val="left"/>
      <w:pPr>
        <w:ind w:left="720" w:hanging="360"/>
      </w:pPr>
    </w:lvl>
    <w:lvl w:ilvl="1" w:tplc="9B2C576E">
      <w:numFmt w:val="decimal"/>
      <w:lvlText w:val=""/>
      <w:lvlJc w:val="left"/>
    </w:lvl>
    <w:lvl w:ilvl="2" w:tplc="90C44D64">
      <w:numFmt w:val="decimal"/>
      <w:lvlText w:val=""/>
      <w:lvlJc w:val="left"/>
    </w:lvl>
    <w:lvl w:ilvl="3" w:tplc="4BB86410">
      <w:numFmt w:val="decimal"/>
      <w:lvlText w:val=""/>
      <w:lvlJc w:val="left"/>
    </w:lvl>
    <w:lvl w:ilvl="4" w:tplc="598CAE4A">
      <w:numFmt w:val="decimal"/>
      <w:lvlText w:val=""/>
      <w:lvlJc w:val="left"/>
    </w:lvl>
    <w:lvl w:ilvl="5" w:tplc="016849F4">
      <w:numFmt w:val="decimal"/>
      <w:lvlText w:val=""/>
      <w:lvlJc w:val="left"/>
    </w:lvl>
    <w:lvl w:ilvl="6" w:tplc="807EFAAE">
      <w:numFmt w:val="decimal"/>
      <w:lvlText w:val=""/>
      <w:lvlJc w:val="left"/>
    </w:lvl>
    <w:lvl w:ilvl="7" w:tplc="72BE695C">
      <w:numFmt w:val="decimal"/>
      <w:lvlText w:val=""/>
      <w:lvlJc w:val="left"/>
    </w:lvl>
    <w:lvl w:ilvl="8" w:tplc="768E98B8">
      <w:numFmt w:val="decimal"/>
      <w:lvlText w:val=""/>
      <w:lvlJc w:val="left"/>
    </w:lvl>
  </w:abstractNum>
  <w:abstractNum w:abstractNumId="8" w15:restartNumberingAfterBreak="0">
    <w:nsid w:val="75616173"/>
    <w:multiLevelType w:val="multilevel"/>
    <w:tmpl w:val="90FCB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737E75"/>
    <w:multiLevelType w:val="multilevel"/>
    <w:tmpl w:val="4B36B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4119361">
    <w:abstractNumId w:val="3"/>
  </w:num>
  <w:num w:numId="2" w16cid:durableId="487286276">
    <w:abstractNumId w:val="9"/>
  </w:num>
  <w:num w:numId="3" w16cid:durableId="949970374">
    <w:abstractNumId w:val="7"/>
    <w:lvlOverride w:ilvl="0">
      <w:startOverride w:val="1"/>
    </w:lvlOverride>
  </w:num>
  <w:num w:numId="4" w16cid:durableId="1682313368">
    <w:abstractNumId w:val="4"/>
  </w:num>
  <w:num w:numId="5" w16cid:durableId="678848450">
    <w:abstractNumId w:val="1"/>
  </w:num>
  <w:num w:numId="6" w16cid:durableId="1423064556">
    <w:abstractNumId w:val="5"/>
  </w:num>
  <w:num w:numId="7" w16cid:durableId="547257209">
    <w:abstractNumId w:val="0"/>
  </w:num>
  <w:num w:numId="8" w16cid:durableId="545028921">
    <w:abstractNumId w:val="8"/>
  </w:num>
  <w:num w:numId="9" w16cid:durableId="942299223">
    <w:abstractNumId w:val="2"/>
  </w:num>
  <w:num w:numId="10" w16cid:durableId="12171592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Q2NrQ0MDY3MjIxMzJR0lEKTi0uzszPAykwrAUAxZJNsiwAAAA="/>
  </w:docVars>
  <w:rsids>
    <w:rsidRoot w:val="00856636"/>
    <w:rsid w:val="00021DC3"/>
    <w:rsid w:val="000300CE"/>
    <w:rsid w:val="000507F5"/>
    <w:rsid w:val="00056BD1"/>
    <w:rsid w:val="000A4339"/>
    <w:rsid w:val="000E049E"/>
    <w:rsid w:val="000F7281"/>
    <w:rsid w:val="00132A87"/>
    <w:rsid w:val="00193C68"/>
    <w:rsid w:val="001E11F0"/>
    <w:rsid w:val="00231172"/>
    <w:rsid w:val="002330D7"/>
    <w:rsid w:val="00247475"/>
    <w:rsid w:val="00286B05"/>
    <w:rsid w:val="002964F1"/>
    <w:rsid w:val="002A33E8"/>
    <w:rsid w:val="003239D8"/>
    <w:rsid w:val="00346573"/>
    <w:rsid w:val="003844C4"/>
    <w:rsid w:val="003C7738"/>
    <w:rsid w:val="003E10C6"/>
    <w:rsid w:val="00402C17"/>
    <w:rsid w:val="00417DB0"/>
    <w:rsid w:val="004278CA"/>
    <w:rsid w:val="00462280"/>
    <w:rsid w:val="004B29E7"/>
    <w:rsid w:val="004F0133"/>
    <w:rsid w:val="00507DA2"/>
    <w:rsid w:val="005E1703"/>
    <w:rsid w:val="00644DF6"/>
    <w:rsid w:val="00657D35"/>
    <w:rsid w:val="00661379"/>
    <w:rsid w:val="00663AA4"/>
    <w:rsid w:val="00665A74"/>
    <w:rsid w:val="006F011A"/>
    <w:rsid w:val="00743B88"/>
    <w:rsid w:val="00757A31"/>
    <w:rsid w:val="00776EEA"/>
    <w:rsid w:val="007B01D3"/>
    <w:rsid w:val="007D2CFF"/>
    <w:rsid w:val="008450BD"/>
    <w:rsid w:val="00856636"/>
    <w:rsid w:val="008640E8"/>
    <w:rsid w:val="00864E7F"/>
    <w:rsid w:val="008813ED"/>
    <w:rsid w:val="008D274A"/>
    <w:rsid w:val="009040E3"/>
    <w:rsid w:val="00914DD3"/>
    <w:rsid w:val="00962051"/>
    <w:rsid w:val="009F2F4D"/>
    <w:rsid w:val="00A639AF"/>
    <w:rsid w:val="00A81563"/>
    <w:rsid w:val="00A878B3"/>
    <w:rsid w:val="00AB19AC"/>
    <w:rsid w:val="00B11842"/>
    <w:rsid w:val="00B66159"/>
    <w:rsid w:val="00BC39C5"/>
    <w:rsid w:val="00BF1B4C"/>
    <w:rsid w:val="00C064DC"/>
    <w:rsid w:val="00C644F3"/>
    <w:rsid w:val="00C65847"/>
    <w:rsid w:val="00CF67C3"/>
    <w:rsid w:val="00D62E47"/>
    <w:rsid w:val="00D96A50"/>
    <w:rsid w:val="00DA4B29"/>
    <w:rsid w:val="00DE584A"/>
    <w:rsid w:val="00DF71DB"/>
    <w:rsid w:val="00E109BA"/>
    <w:rsid w:val="00E135A3"/>
    <w:rsid w:val="00E621EF"/>
    <w:rsid w:val="00E97F15"/>
    <w:rsid w:val="00EA5A23"/>
    <w:rsid w:val="00EE311B"/>
    <w:rsid w:val="00EE5881"/>
    <w:rsid w:val="00F44874"/>
    <w:rsid w:val="00F55901"/>
    <w:rsid w:val="00FE11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02769B"/>
  <w15:chartTrackingRefBased/>
  <w15:docId w15:val="{4131CE9E-D711-4E69-9499-75F4BB3A2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636"/>
    <w:rPr>
      <w:lang w:val="en-GB"/>
    </w:rPr>
  </w:style>
  <w:style w:type="paragraph" w:styleId="Heading1">
    <w:name w:val="heading 1"/>
    <w:basedOn w:val="Normal"/>
    <w:next w:val="Normal"/>
    <w:link w:val="Heading1Char"/>
    <w:uiPriority w:val="9"/>
    <w:qFormat/>
    <w:rsid w:val="007D2C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56636"/>
    <w:pPr>
      <w:spacing w:before="100" w:beforeAutospacing="1" w:after="100" w:afterAutospacing="1" w:line="240" w:lineRule="auto"/>
      <w:outlineLvl w:val="1"/>
    </w:pPr>
    <w:rPr>
      <w:rFonts w:eastAsia="Times New Roman"/>
      <w:b/>
      <w:bCs/>
      <w:sz w:val="36"/>
      <w:szCs w:val="36"/>
      <w:lang w:val="" w: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56636"/>
    <w:rPr>
      <w:rFonts w:eastAsia="Times New Roman"/>
      <w:b/>
      <w:bCs/>
      <w:sz w:val="36"/>
      <w:szCs w:val="36"/>
      <w:lang w:val="" w:eastAsia=""/>
    </w:rPr>
  </w:style>
  <w:style w:type="paragraph" w:styleId="NormalWeb">
    <w:name w:val="Normal (Web)"/>
    <w:basedOn w:val="Normal"/>
    <w:uiPriority w:val="99"/>
    <w:unhideWhenUsed/>
    <w:rsid w:val="00856636"/>
    <w:pPr>
      <w:spacing w:before="100" w:beforeAutospacing="1" w:after="100" w:afterAutospacing="1" w:line="240" w:lineRule="auto"/>
    </w:pPr>
    <w:rPr>
      <w:rFonts w:eastAsia="Times New Roman"/>
      <w:lang w:val="" w:eastAsia=""/>
    </w:rPr>
  </w:style>
  <w:style w:type="paragraph" w:styleId="Header">
    <w:name w:val="header"/>
    <w:basedOn w:val="Normal"/>
    <w:link w:val="HeaderChar"/>
    <w:uiPriority w:val="99"/>
    <w:unhideWhenUsed/>
    <w:rsid w:val="008566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6636"/>
    <w:rPr>
      <w:lang w:val="en-GB"/>
    </w:rPr>
  </w:style>
  <w:style w:type="paragraph" w:styleId="Footer">
    <w:name w:val="footer"/>
    <w:basedOn w:val="Normal"/>
    <w:link w:val="FooterChar"/>
    <w:uiPriority w:val="99"/>
    <w:unhideWhenUsed/>
    <w:rsid w:val="008566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636"/>
    <w:rPr>
      <w:lang w:val="en-GB"/>
    </w:rPr>
  </w:style>
  <w:style w:type="character" w:customStyle="1" w:styleId="citation-563">
    <w:name w:val="citation-563"/>
    <w:basedOn w:val="DefaultParagraphFont"/>
    <w:rsid w:val="00C644F3"/>
  </w:style>
  <w:style w:type="character" w:styleId="Hyperlink">
    <w:name w:val="Hyperlink"/>
    <w:basedOn w:val="DefaultParagraphFont"/>
    <w:uiPriority w:val="99"/>
    <w:unhideWhenUsed/>
    <w:rsid w:val="00C644F3"/>
    <w:rPr>
      <w:color w:val="0000FF"/>
      <w:u w:val="single"/>
    </w:rPr>
  </w:style>
  <w:style w:type="character" w:styleId="CommentReference">
    <w:name w:val="annotation reference"/>
    <w:basedOn w:val="DefaultParagraphFont"/>
    <w:uiPriority w:val="99"/>
    <w:semiHidden/>
    <w:unhideWhenUsed/>
    <w:rsid w:val="00346573"/>
    <w:rPr>
      <w:sz w:val="16"/>
      <w:szCs w:val="16"/>
    </w:rPr>
  </w:style>
  <w:style w:type="paragraph" w:styleId="CommentText">
    <w:name w:val="annotation text"/>
    <w:basedOn w:val="Normal"/>
    <w:link w:val="CommentTextChar"/>
    <w:uiPriority w:val="99"/>
    <w:unhideWhenUsed/>
    <w:rsid w:val="00346573"/>
    <w:pPr>
      <w:spacing w:line="240" w:lineRule="auto"/>
    </w:pPr>
    <w:rPr>
      <w:sz w:val="20"/>
      <w:szCs w:val="20"/>
    </w:rPr>
  </w:style>
  <w:style w:type="character" w:customStyle="1" w:styleId="CommentTextChar">
    <w:name w:val="Comment Text Char"/>
    <w:basedOn w:val="DefaultParagraphFont"/>
    <w:link w:val="CommentText"/>
    <w:uiPriority w:val="99"/>
    <w:rsid w:val="00346573"/>
    <w:rPr>
      <w:sz w:val="20"/>
      <w:szCs w:val="20"/>
      <w:lang w:val="en-GB"/>
    </w:rPr>
  </w:style>
  <w:style w:type="paragraph" w:styleId="CommentSubject">
    <w:name w:val="annotation subject"/>
    <w:basedOn w:val="CommentText"/>
    <w:next w:val="CommentText"/>
    <w:link w:val="CommentSubjectChar"/>
    <w:uiPriority w:val="99"/>
    <w:semiHidden/>
    <w:unhideWhenUsed/>
    <w:rsid w:val="00346573"/>
    <w:rPr>
      <w:b/>
      <w:bCs/>
    </w:rPr>
  </w:style>
  <w:style w:type="character" w:customStyle="1" w:styleId="CommentSubjectChar">
    <w:name w:val="Comment Subject Char"/>
    <w:basedOn w:val="CommentTextChar"/>
    <w:link w:val="CommentSubject"/>
    <w:uiPriority w:val="99"/>
    <w:semiHidden/>
    <w:rsid w:val="00346573"/>
    <w:rPr>
      <w:b/>
      <w:bCs/>
      <w:sz w:val="20"/>
      <w:szCs w:val="20"/>
      <w:lang w:val="en-GB"/>
    </w:rPr>
  </w:style>
  <w:style w:type="paragraph" w:styleId="BalloonText">
    <w:name w:val="Balloon Text"/>
    <w:basedOn w:val="Normal"/>
    <w:link w:val="BalloonTextChar"/>
    <w:uiPriority w:val="99"/>
    <w:semiHidden/>
    <w:unhideWhenUsed/>
    <w:rsid w:val="00FE11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11D6"/>
    <w:rPr>
      <w:rFonts w:ascii="Segoe UI" w:hAnsi="Segoe UI" w:cs="Segoe UI"/>
      <w:sz w:val="18"/>
      <w:szCs w:val="18"/>
      <w:lang w:val="en-GB"/>
    </w:rPr>
  </w:style>
  <w:style w:type="character" w:customStyle="1" w:styleId="Heading1Char">
    <w:name w:val="Heading 1 Char"/>
    <w:basedOn w:val="DefaultParagraphFont"/>
    <w:link w:val="Heading1"/>
    <w:uiPriority w:val="9"/>
    <w:rsid w:val="007D2CFF"/>
    <w:rPr>
      <w:rFonts w:asciiTheme="majorHAnsi" w:eastAsiaTheme="majorEastAsia" w:hAnsiTheme="majorHAnsi" w:cstheme="majorBidi"/>
      <w:color w:val="2F5496" w:themeColor="accent1" w:themeShade="BF"/>
      <w:sz w:val="32"/>
      <w:szCs w:val="32"/>
      <w:lang w:val="en-GB"/>
    </w:rPr>
  </w:style>
  <w:style w:type="paragraph" w:styleId="ListParagraph">
    <w:name w:val="List Paragraph"/>
    <w:qFormat/>
    <w:rsid w:val="007D2CFF"/>
    <w:pPr>
      <w:spacing w:after="0" w:line="240" w:lineRule="auto"/>
    </w:pPr>
    <w:rPr>
      <w:rFonts w:ascii="Arial" w:eastAsia="Arial" w:hAnsi="Arial" w:cs="Arial"/>
      <w:sz w:val="22"/>
      <w:szCs w:val="22"/>
      <w:lang w:val="en-US"/>
    </w:rPr>
  </w:style>
  <w:style w:type="character" w:styleId="UnresolvedMention">
    <w:name w:val="Unresolved Mention"/>
    <w:basedOn w:val="DefaultParagraphFont"/>
    <w:uiPriority w:val="99"/>
    <w:semiHidden/>
    <w:unhideWhenUsed/>
    <w:rsid w:val="009F2F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7/S0003055424000364" TargetMode="External"/><Relationship Id="rId13" Type="http://schemas.openxmlformats.org/officeDocument/2006/relationships/hyperlink" Target="https://doi.org/10.1080/23322039.2021.2014654"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4324/9781315163338-6"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038/s41586-024-07147-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7/9781108559423.003" TargetMode="External"/><Relationship Id="rId5" Type="http://schemas.openxmlformats.org/officeDocument/2006/relationships/webSettings" Target="webSettings.xml"/><Relationship Id="rId15" Type="http://schemas.openxmlformats.org/officeDocument/2006/relationships/hyperlink" Target="https://doi.org/10.1177/0018726716684200" TargetMode="External"/><Relationship Id="rId10" Type="http://schemas.openxmlformats.org/officeDocument/2006/relationships/hyperlink" Target="https://betterwork.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32479/irmm.18962" TargetMode="External"/><Relationship Id="rId14" Type="http://schemas.openxmlformats.org/officeDocument/2006/relationships/hyperlink" Target="https://doi.org/10.1080/09535314.2024.24068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79BB6-076A-4C52-A58D-EEDA70C01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15</Pages>
  <Words>3677</Words>
  <Characters>20962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abc</cp:lastModifiedBy>
  <cp:revision>2</cp:revision>
  <dcterms:created xsi:type="dcterms:W3CDTF">2026-03-30T09:03:00Z</dcterms:created>
  <dcterms:modified xsi:type="dcterms:W3CDTF">2026-03-30T09:03:00Z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08f794ee-b0ac-4cbc-a2e8-3aebea09aae2</vt:lpwstr>
  </property>
</Properties>
</file>