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7CC" w:rsidRPr="00DF3B7C" w:rsidRDefault="000217CC" w:rsidP="00DF3B7C">
      <w:pPr>
        <w:spacing w:after="0" w:line="480" w:lineRule="auto"/>
        <w:jc w:val="center"/>
        <w:rPr>
          <w:rFonts w:cs="Times New Roman"/>
          <w:b/>
          <w:szCs w:val="24"/>
        </w:rPr>
      </w:pPr>
    </w:p>
    <w:p w:rsidR="000217CC" w:rsidRPr="00DF3B7C" w:rsidRDefault="000217CC" w:rsidP="00DF3B7C">
      <w:pPr>
        <w:spacing w:after="0" w:line="480" w:lineRule="auto"/>
        <w:jc w:val="center"/>
        <w:rPr>
          <w:rFonts w:cs="Times New Roman"/>
          <w:b/>
          <w:szCs w:val="24"/>
        </w:rPr>
      </w:pPr>
    </w:p>
    <w:p w:rsidR="000217CC" w:rsidRPr="00DF3B7C" w:rsidRDefault="000217CC" w:rsidP="00DF3B7C">
      <w:pPr>
        <w:spacing w:after="0" w:line="480" w:lineRule="auto"/>
        <w:jc w:val="center"/>
        <w:rPr>
          <w:rFonts w:cs="Times New Roman"/>
          <w:b/>
          <w:szCs w:val="24"/>
        </w:rPr>
      </w:pPr>
    </w:p>
    <w:p w:rsidR="000217CC" w:rsidRPr="00DF3B7C" w:rsidRDefault="000217CC" w:rsidP="00DF3B7C">
      <w:pPr>
        <w:spacing w:after="0" w:line="480" w:lineRule="auto"/>
        <w:jc w:val="center"/>
        <w:rPr>
          <w:rFonts w:cs="Times New Roman"/>
          <w:b/>
          <w:szCs w:val="24"/>
        </w:rPr>
      </w:pPr>
      <w:r w:rsidRPr="00DF3B7C">
        <w:rPr>
          <w:rFonts w:cs="Times New Roman"/>
          <w:b/>
          <w:szCs w:val="24"/>
        </w:rPr>
        <w:t>Strategic Management Portfolio Report</w:t>
      </w:r>
    </w:p>
    <w:p w:rsidR="000217CC" w:rsidRPr="00DF3B7C" w:rsidRDefault="000217CC" w:rsidP="00DF3B7C">
      <w:pPr>
        <w:spacing w:after="0" w:line="480" w:lineRule="auto"/>
        <w:jc w:val="center"/>
        <w:rPr>
          <w:rFonts w:eastAsia="Times New Roman" w:cs="Times New Roman"/>
          <w:b/>
          <w:szCs w:val="24"/>
        </w:rPr>
      </w:pPr>
    </w:p>
    <w:p w:rsidR="000217CC" w:rsidRPr="00DF3B7C" w:rsidRDefault="000217CC" w:rsidP="00DF3B7C">
      <w:pPr>
        <w:spacing w:after="0" w:line="480" w:lineRule="auto"/>
        <w:jc w:val="center"/>
        <w:rPr>
          <w:rFonts w:cs="Times New Roman"/>
          <w:b/>
          <w:bCs/>
          <w:szCs w:val="24"/>
        </w:rPr>
      </w:pPr>
      <w:r w:rsidRPr="00DF3B7C">
        <w:rPr>
          <w:rFonts w:cs="Times New Roman"/>
          <w:color w:val="000000"/>
          <w:szCs w:val="24"/>
        </w:rPr>
        <w:t>Author Name</w:t>
      </w:r>
    </w:p>
    <w:p w:rsidR="000217CC" w:rsidRPr="00DF3B7C" w:rsidRDefault="000217CC" w:rsidP="00DF3B7C">
      <w:pPr>
        <w:spacing w:after="0" w:line="480" w:lineRule="auto"/>
        <w:contextualSpacing/>
        <w:jc w:val="center"/>
        <w:rPr>
          <w:rFonts w:cs="Times New Roman"/>
          <w:color w:val="000000"/>
          <w:szCs w:val="24"/>
        </w:rPr>
      </w:pPr>
      <w:r w:rsidRPr="00DF3B7C">
        <w:rPr>
          <w:rFonts w:cs="Times New Roman"/>
          <w:color w:val="000000"/>
          <w:szCs w:val="24"/>
        </w:rPr>
        <w:t>Institution Name</w:t>
      </w:r>
    </w:p>
    <w:p w:rsidR="000217CC" w:rsidRPr="00DF3B7C" w:rsidRDefault="000217CC" w:rsidP="00DF3B7C">
      <w:pPr>
        <w:spacing w:after="0" w:line="480" w:lineRule="auto"/>
        <w:contextualSpacing/>
        <w:jc w:val="center"/>
        <w:rPr>
          <w:rFonts w:cs="Times New Roman"/>
          <w:szCs w:val="24"/>
        </w:rPr>
      </w:pPr>
      <w:r w:rsidRPr="00DF3B7C">
        <w:rPr>
          <w:rFonts w:cs="Times New Roman"/>
          <w:szCs w:val="24"/>
        </w:rPr>
        <w:t>Course Name</w:t>
      </w:r>
    </w:p>
    <w:p w:rsidR="000217CC" w:rsidRPr="00DF3B7C" w:rsidRDefault="000217CC" w:rsidP="00DF3B7C">
      <w:pPr>
        <w:spacing w:after="0" w:line="480" w:lineRule="auto"/>
        <w:contextualSpacing/>
        <w:jc w:val="center"/>
        <w:rPr>
          <w:rFonts w:cs="Times New Roman"/>
          <w:szCs w:val="24"/>
        </w:rPr>
      </w:pPr>
      <w:r w:rsidRPr="00DF3B7C">
        <w:rPr>
          <w:rFonts w:cs="Times New Roman"/>
          <w:szCs w:val="24"/>
        </w:rPr>
        <w:t>Instructor Name</w:t>
      </w:r>
    </w:p>
    <w:p w:rsidR="000217CC" w:rsidRPr="00DF3B7C" w:rsidRDefault="000217CC" w:rsidP="00DF3B7C">
      <w:pPr>
        <w:pStyle w:val="NormalWeb"/>
        <w:spacing w:before="0" w:beforeAutospacing="0" w:after="0" w:afterAutospacing="0" w:line="480" w:lineRule="auto"/>
        <w:jc w:val="center"/>
      </w:pPr>
      <w:r w:rsidRPr="00DF3B7C">
        <w:t>Date</w:t>
      </w:r>
    </w:p>
    <w:p w:rsidR="000217CC" w:rsidRPr="00DF3B7C" w:rsidRDefault="000217CC" w:rsidP="00DF3B7C">
      <w:pPr>
        <w:spacing w:after="0" w:line="480" w:lineRule="auto"/>
        <w:ind w:firstLine="720"/>
        <w:rPr>
          <w:rFonts w:cs="Times New Roman"/>
          <w:szCs w:val="24"/>
        </w:rPr>
      </w:pPr>
      <w:r w:rsidRPr="00DF3B7C">
        <w:rPr>
          <w:rFonts w:cs="Times New Roman"/>
          <w:szCs w:val="24"/>
        </w:rPr>
        <w:br w:type="page"/>
      </w:r>
    </w:p>
    <w:p w:rsidR="00705124" w:rsidRPr="00705124" w:rsidRDefault="000217CC" w:rsidP="00DF3B7C">
      <w:pPr>
        <w:spacing w:after="0" w:line="480" w:lineRule="auto"/>
        <w:jc w:val="center"/>
        <w:outlineLvl w:val="2"/>
        <w:rPr>
          <w:rFonts w:eastAsia="Times New Roman" w:cs="Times New Roman"/>
          <w:b/>
          <w:bCs/>
          <w:szCs w:val="24"/>
        </w:rPr>
      </w:pPr>
      <w:r w:rsidRPr="00DF3B7C">
        <w:rPr>
          <w:rFonts w:eastAsia="Times New Roman" w:cs="Times New Roman"/>
          <w:b/>
          <w:bCs/>
          <w:szCs w:val="24"/>
        </w:rPr>
        <w:lastRenderedPageBreak/>
        <w:t>Executive Summary</w:t>
      </w:r>
    </w:p>
    <w:p w:rsidR="000217CC" w:rsidRPr="00DF3B7C" w:rsidRDefault="000217CC" w:rsidP="00DF3B7C">
      <w:pPr>
        <w:spacing w:after="0" w:line="480" w:lineRule="auto"/>
        <w:ind w:firstLine="720"/>
        <w:rPr>
          <w:rFonts w:eastAsia="Times New Roman" w:cs="Times New Roman"/>
          <w:szCs w:val="24"/>
        </w:rPr>
      </w:pPr>
      <w:bookmarkStart w:id="0" w:name="_GoBack"/>
      <w:r w:rsidRPr="00DF3B7C">
        <w:rPr>
          <w:rFonts w:eastAsia="Times New Roman" w:cs="Times New Roman"/>
          <w:szCs w:val="24"/>
        </w:rPr>
        <w:t>This report comprises a strategic analysis of the Customers and Products segment of BP plc, its highest revenue-generating segment that encompasses refining, fuels, lubricants, and convenience retail sectors</w:t>
      </w:r>
      <w:r w:rsidRPr="000217CC">
        <w:rPr>
          <w:rFonts w:eastAsia="Times New Roman" w:cs="Times New Roman"/>
          <w:szCs w:val="24"/>
        </w:rPr>
        <w:t>. The examination assesses the previous performance of the segment in the last decade to inform future investment decision and strategic direction. The findings indicate that the segment is at a critical inflection point. Although it has continued to generate good revenues in traditional fuel activities, it is facing growing pressure from electrification, regulatory tightening, and shifting consumer preferences. BCG analysis identifies a portfolio in transition, as traditional fuels continue to be key cash generators despite structural deterioration, and BP Pulse electric vehicle charging and convenience retail are the areas of growth t</w:t>
      </w:r>
      <w:r w:rsidRPr="00DF3B7C">
        <w:rPr>
          <w:rFonts w:eastAsia="Times New Roman" w:cs="Times New Roman"/>
          <w:szCs w:val="24"/>
        </w:rPr>
        <w:t>hat need continuous investment.</w:t>
      </w:r>
    </w:p>
    <w:p w:rsidR="000217CC" w:rsidRPr="000217CC" w:rsidRDefault="000217CC" w:rsidP="00DF3B7C">
      <w:pPr>
        <w:spacing w:after="0" w:line="480" w:lineRule="auto"/>
        <w:ind w:firstLine="720"/>
        <w:rPr>
          <w:rFonts w:eastAsia="Times New Roman" w:cs="Times New Roman"/>
          <w:szCs w:val="24"/>
        </w:rPr>
      </w:pPr>
      <w:r w:rsidRPr="000217CC">
        <w:rPr>
          <w:rFonts w:eastAsia="Times New Roman" w:cs="Times New Roman"/>
          <w:szCs w:val="24"/>
        </w:rPr>
        <w:t xml:space="preserve">The net zero aspiration of BP is a clear strategic intent, but implementation has a significant obstacle to overcome, especially the reduction of Scope 3 emissions caused by fuel consumption. The company shows innovation by building EV infrastructure and going digital, but some of this innovation is jeopardized by its continued investment in oil production. Leadership changes from Bernard Looney to Murray </w:t>
      </w:r>
      <w:proofErr w:type="spellStart"/>
      <w:r w:rsidRPr="000217CC">
        <w:rPr>
          <w:rFonts w:eastAsia="Times New Roman" w:cs="Times New Roman"/>
          <w:szCs w:val="24"/>
        </w:rPr>
        <w:t>Auchincloss</w:t>
      </w:r>
      <w:proofErr w:type="spellEnd"/>
      <w:r w:rsidRPr="000217CC">
        <w:rPr>
          <w:rFonts w:eastAsia="Times New Roman" w:cs="Times New Roman"/>
          <w:szCs w:val="24"/>
        </w:rPr>
        <w:t xml:space="preserve"> have further contributed to strategic inconsistency. Details on the balanced scorecard indicate a good financial performance but reflect deficiencies in speed of transition and customer shift to low-carbon solutions. Thus, the report suggests expediting investments in areas of growth, including BP pulse and convenience retail, maintaining traditional fuels in cash generation, planning managed decline, and selling refining assets that do not perform well. In general, long-term competitiveness relies on swifter and more determined transformation of portfolios owing to disciplined execution.</w:t>
      </w:r>
    </w:p>
    <w:p w:rsidR="000217CC" w:rsidRPr="00DF3B7C" w:rsidRDefault="000217CC" w:rsidP="00DF3B7C">
      <w:pPr>
        <w:spacing w:after="0" w:line="480" w:lineRule="auto"/>
        <w:rPr>
          <w:rFonts w:eastAsia="Times New Roman" w:cs="Times New Roman"/>
          <w:b/>
          <w:bCs/>
          <w:szCs w:val="24"/>
        </w:rPr>
      </w:pPr>
      <w:r w:rsidRPr="00DF3B7C">
        <w:rPr>
          <w:rFonts w:eastAsia="Times New Roman" w:cs="Times New Roman"/>
          <w:b/>
          <w:bCs/>
          <w:szCs w:val="24"/>
        </w:rPr>
        <w:br w:type="page"/>
      </w:r>
    </w:p>
    <w:p w:rsidR="000217CC" w:rsidRPr="00DF3B7C" w:rsidRDefault="000217CC" w:rsidP="00DF3B7C">
      <w:pPr>
        <w:spacing w:after="0" w:line="480" w:lineRule="auto"/>
        <w:jc w:val="center"/>
        <w:rPr>
          <w:rFonts w:cs="Times New Roman"/>
          <w:b/>
          <w:szCs w:val="24"/>
        </w:rPr>
      </w:pPr>
      <w:r w:rsidRPr="00DF3B7C">
        <w:rPr>
          <w:rFonts w:cs="Times New Roman"/>
          <w:b/>
          <w:szCs w:val="24"/>
        </w:rPr>
        <w:lastRenderedPageBreak/>
        <w:t>Strategic Management Portfolio Report</w:t>
      </w:r>
    </w:p>
    <w:p w:rsidR="00DF3B7C" w:rsidRPr="00DF3B7C" w:rsidRDefault="00DF3B7C" w:rsidP="00DF3B7C">
      <w:pPr>
        <w:spacing w:after="0" w:line="480" w:lineRule="auto"/>
        <w:ind w:firstLine="720"/>
        <w:rPr>
          <w:rFonts w:eastAsia="Times New Roman" w:cs="Times New Roman"/>
          <w:szCs w:val="24"/>
        </w:rPr>
      </w:pPr>
      <w:r w:rsidRPr="00DF3B7C">
        <w:rPr>
          <w:rFonts w:eastAsia="Times New Roman" w:cs="Times New Roman"/>
          <w:szCs w:val="24"/>
        </w:rPr>
        <w:t xml:space="preserve">BP plc is one of the largest global integrated energy companies whose operations cut across the oil and gas value chain and expansion into low-carbon energy solutions. BP continues to be a supermajor alongside Shell, ExxonMobil, Chevron, and </w:t>
      </w:r>
      <w:proofErr w:type="spellStart"/>
      <w:r w:rsidRPr="00DF3B7C">
        <w:rPr>
          <w:rFonts w:eastAsia="Times New Roman" w:cs="Times New Roman"/>
          <w:szCs w:val="24"/>
        </w:rPr>
        <w:t>TotalEnergies</w:t>
      </w:r>
      <w:proofErr w:type="spellEnd"/>
      <w:r w:rsidRPr="00DF3B7C">
        <w:rPr>
          <w:rFonts w:eastAsia="Times New Roman" w:cs="Times New Roman"/>
          <w:szCs w:val="24"/>
        </w:rPr>
        <w:t xml:space="preserve"> with operations in more than 61 countries and a production of about 2.3 million barrels of oil equivalent every day (BP, 2024a). The industry context, however, has changed radically. The move to low-carbon energy, which has been caused by regulation pressure, technical change, and evolving consumer preferences, is not an incremental change. The 2020 pledge by BP to achieve net zero emissions by 2050 reflects this change and represents a repositioning of BP as an International Oil Company to become an Integrated Energy Company (BP, 2024a). Such a change requires not only an investment in new energy solutions but also the reorganization of current operations, which remains the foundation of current financial performance.</w:t>
      </w:r>
    </w:p>
    <w:p w:rsidR="000D1E37" w:rsidRDefault="000217CC" w:rsidP="00DF3B7C">
      <w:pPr>
        <w:spacing w:after="0" w:line="480" w:lineRule="auto"/>
        <w:ind w:firstLine="720"/>
        <w:rPr>
          <w:rFonts w:eastAsia="Times New Roman" w:cs="Times New Roman"/>
          <w:szCs w:val="24"/>
        </w:rPr>
      </w:pPr>
      <w:r w:rsidRPr="000217CC">
        <w:rPr>
          <w:rFonts w:eastAsia="Times New Roman" w:cs="Times New Roman"/>
          <w:szCs w:val="24"/>
        </w:rPr>
        <w:t>The report dwells upon the BP segment of Customers and Products, which is the largest income-earning Strategi</w:t>
      </w:r>
      <w:r w:rsidR="00DF3B7C" w:rsidRPr="00DF3B7C">
        <w:rPr>
          <w:rFonts w:eastAsia="Times New Roman" w:cs="Times New Roman"/>
          <w:szCs w:val="24"/>
        </w:rPr>
        <w:t xml:space="preserve">c Business Unit at the company </w:t>
      </w:r>
      <w:r w:rsidR="00DF3B7C" w:rsidRPr="00DF3B7C">
        <w:rPr>
          <w:rFonts w:cs="Times New Roman"/>
          <w:szCs w:val="24"/>
        </w:rPr>
        <w:t>(BP, 2024b)</w:t>
      </w:r>
      <w:r w:rsidRPr="000217CC">
        <w:rPr>
          <w:rFonts w:eastAsia="Times New Roman" w:cs="Times New Roman"/>
          <w:szCs w:val="24"/>
        </w:rPr>
        <w:t xml:space="preserve">. The segment has around </w:t>
      </w:r>
      <w:r w:rsidR="00DF3B7C" w:rsidRPr="00DF3B7C">
        <w:rPr>
          <w:rFonts w:eastAsia="Times New Roman" w:cs="Times New Roman"/>
          <w:szCs w:val="24"/>
        </w:rPr>
        <w:t xml:space="preserve">21,200 </w:t>
      </w:r>
      <w:r w:rsidRPr="000217CC">
        <w:rPr>
          <w:rFonts w:eastAsia="Times New Roman" w:cs="Times New Roman"/>
          <w:szCs w:val="24"/>
        </w:rPr>
        <w:t>retail locations worldwide, offering direct customer access and rendering it central to value creation and strategic transformation</w:t>
      </w:r>
      <w:r w:rsidR="00DF3B7C" w:rsidRPr="00DF3B7C">
        <w:rPr>
          <w:rFonts w:eastAsia="Times New Roman" w:cs="Times New Roman"/>
          <w:szCs w:val="24"/>
        </w:rPr>
        <w:t xml:space="preserve"> </w:t>
      </w:r>
      <w:r w:rsidR="00DF3B7C" w:rsidRPr="00DF3B7C">
        <w:rPr>
          <w:rFonts w:cs="Times New Roman"/>
          <w:szCs w:val="24"/>
        </w:rPr>
        <w:t>(BP, 2024b)</w:t>
      </w:r>
      <w:r w:rsidRPr="000217CC">
        <w:rPr>
          <w:rFonts w:eastAsia="Times New Roman" w:cs="Times New Roman"/>
          <w:szCs w:val="24"/>
        </w:rPr>
        <w:t xml:space="preserve">. Nevertheless, this allocation gives rise to structural tension. Although the traditional fuel operations would allow generating strong cash flows, it is increasingly being exposed to long-term loss of demand propelled by electrification and efficiency gains. Meanwhile, competition is increasingly growing between the established oil majors and other new competitors in providing EV charging services, such as Tesla and </w:t>
      </w:r>
      <w:proofErr w:type="spellStart"/>
      <w:r w:rsidRPr="000217CC">
        <w:rPr>
          <w:rFonts w:eastAsia="Times New Roman" w:cs="Times New Roman"/>
          <w:szCs w:val="24"/>
        </w:rPr>
        <w:t>Ionity</w:t>
      </w:r>
      <w:proofErr w:type="spellEnd"/>
      <w:r w:rsidRPr="000217CC">
        <w:rPr>
          <w:rFonts w:eastAsia="Times New Roman" w:cs="Times New Roman"/>
          <w:szCs w:val="24"/>
        </w:rPr>
        <w:t xml:space="preserve">, as well as independent retail operators (Reuters, 2024; Grant, 2022). Thus, despite still having strong competitive resources, the current strategy of BP is not fully aligned with future market dynamics, nor is it proceeding to replace its assets and capabilities with a new strategic </w:t>
      </w:r>
      <w:r w:rsidRPr="000217CC">
        <w:rPr>
          <w:rFonts w:eastAsia="Times New Roman" w:cs="Times New Roman"/>
          <w:szCs w:val="24"/>
        </w:rPr>
        <w:lastRenderedPageBreak/>
        <w:t>approach at a faster and more decisive pace to be able to maintain its long-term competitive advantage.</w:t>
      </w:r>
    </w:p>
    <w:p w:rsidR="00DF3B7C" w:rsidRPr="00705124" w:rsidRDefault="00DF3B7C" w:rsidP="00DF3B7C">
      <w:pPr>
        <w:spacing w:after="0" w:line="480" w:lineRule="auto"/>
        <w:ind w:firstLine="720"/>
        <w:rPr>
          <w:rFonts w:eastAsia="Times New Roman" w:cs="Times New Roman"/>
          <w:szCs w:val="24"/>
        </w:rPr>
      </w:pPr>
    </w:p>
    <w:p w:rsidR="00705124" w:rsidRPr="00705124" w:rsidRDefault="000D1E37" w:rsidP="00DF3B7C">
      <w:pPr>
        <w:spacing w:after="0" w:line="480" w:lineRule="auto"/>
        <w:outlineLvl w:val="2"/>
        <w:rPr>
          <w:rFonts w:eastAsia="Times New Roman" w:cs="Times New Roman"/>
          <w:b/>
          <w:bCs/>
          <w:i/>
          <w:szCs w:val="24"/>
        </w:rPr>
      </w:pPr>
      <w:r w:rsidRPr="00DF3B7C">
        <w:rPr>
          <w:rFonts w:eastAsia="Times New Roman" w:cs="Times New Roman"/>
          <w:b/>
          <w:bCs/>
          <w:i/>
          <w:szCs w:val="24"/>
        </w:rPr>
        <w:t>Strategic Position Summary: Tows Analysis</w:t>
      </w:r>
    </w:p>
    <w:p w:rsidR="00FB5144" w:rsidRPr="00FB5144" w:rsidRDefault="00FB5144" w:rsidP="00DF3B7C">
      <w:pPr>
        <w:spacing w:after="0" w:line="480" w:lineRule="auto"/>
        <w:ind w:firstLine="720"/>
        <w:rPr>
          <w:rFonts w:eastAsia="Times New Roman" w:cs="Times New Roman"/>
          <w:szCs w:val="24"/>
        </w:rPr>
      </w:pPr>
      <w:r w:rsidRPr="00FB5144">
        <w:rPr>
          <w:rFonts w:eastAsia="Times New Roman" w:cs="Times New Roman"/>
          <w:szCs w:val="24"/>
        </w:rPr>
        <w:t>TOWS framework analyses the external environmental factors and internal capabilities to determine the strategic options to adopt in the case of the Customers and Products segment of BP (Johnson et al., 2023). It indicates that there is an increasing disconnect between the current capabilities of BP and the rate at which the industry is evolving, and that small changes are no longer sufficient to maintain the company in the long-run competitive position.</w:t>
      </w:r>
    </w:p>
    <w:p w:rsidR="00FB5144" w:rsidRPr="00FB5144" w:rsidRDefault="00FB5144" w:rsidP="00DF3B7C">
      <w:pPr>
        <w:spacing w:after="0" w:line="480" w:lineRule="auto"/>
        <w:ind w:firstLine="720"/>
        <w:rPr>
          <w:rFonts w:eastAsia="Times New Roman" w:cs="Times New Roman"/>
          <w:szCs w:val="24"/>
        </w:rPr>
      </w:pPr>
      <w:r w:rsidRPr="00FB5144">
        <w:rPr>
          <w:rFonts w:eastAsia="Times New Roman" w:cs="Times New Roman"/>
          <w:szCs w:val="24"/>
        </w:rPr>
        <w:t>The trend of transport electrification brings an enormous opportunity to companies with well-developed infrastructure. The IEA estimate</w:t>
      </w:r>
      <w:r w:rsidR="000D1E37" w:rsidRPr="00DF3B7C">
        <w:rPr>
          <w:rFonts w:eastAsia="Times New Roman" w:cs="Times New Roman"/>
          <w:szCs w:val="24"/>
        </w:rPr>
        <w:t>s that EV sales will represent 40</w:t>
      </w:r>
      <w:r w:rsidRPr="00FB5144">
        <w:rPr>
          <w:rFonts w:eastAsia="Times New Roman" w:cs="Times New Roman"/>
          <w:szCs w:val="24"/>
        </w:rPr>
        <w:t xml:space="preserve">% of the global new motor vehicle sales </w:t>
      </w:r>
      <w:r w:rsidR="00DF3B7C" w:rsidRPr="00DF3B7C">
        <w:rPr>
          <w:rFonts w:eastAsia="Times New Roman" w:cs="Times New Roman"/>
          <w:szCs w:val="24"/>
        </w:rPr>
        <w:t>by 2030, positioning the 21,200</w:t>
      </w:r>
      <w:r w:rsidRPr="00FB5144">
        <w:rPr>
          <w:rFonts w:eastAsia="Times New Roman" w:cs="Times New Roman"/>
          <w:szCs w:val="24"/>
        </w:rPr>
        <w:t xml:space="preserve"> retail outlets of BP as potential multi-energy hubs instead</w:t>
      </w:r>
      <w:r w:rsidR="00DF3B7C" w:rsidRPr="00DF3B7C">
        <w:rPr>
          <w:rFonts w:eastAsia="Times New Roman" w:cs="Times New Roman"/>
          <w:szCs w:val="24"/>
        </w:rPr>
        <w:t xml:space="preserve"> of conventional fuel stations </w:t>
      </w:r>
      <w:r w:rsidR="00DF3B7C" w:rsidRPr="00DF3B7C">
        <w:rPr>
          <w:rFonts w:cs="Times New Roman"/>
          <w:szCs w:val="24"/>
        </w:rPr>
        <w:t>(BP, 2024b)</w:t>
      </w:r>
      <w:r w:rsidRPr="00FB5144">
        <w:rPr>
          <w:rFonts w:eastAsia="Times New Roman" w:cs="Times New Roman"/>
          <w:szCs w:val="24"/>
        </w:rPr>
        <w:t>. Simultaneously, growth in convenience retail, which could be supported by the Marks and Spencer partnership, provides a higher-margin revenue stream that allows offs</w:t>
      </w:r>
      <w:r w:rsidR="00DF3B7C" w:rsidRPr="00DF3B7C">
        <w:rPr>
          <w:rFonts w:eastAsia="Times New Roman" w:cs="Times New Roman"/>
          <w:szCs w:val="24"/>
        </w:rPr>
        <w:t>etting a declining fuel profit</w:t>
      </w:r>
      <w:r w:rsidRPr="00FB5144">
        <w:rPr>
          <w:rFonts w:eastAsia="Times New Roman" w:cs="Times New Roman"/>
          <w:szCs w:val="24"/>
        </w:rPr>
        <w:t xml:space="preserve">. BP can also establish a closer customer relationship when digital tools, like loyalty </w:t>
      </w:r>
      <w:r w:rsidR="00DF3B7C" w:rsidRPr="00DF3B7C">
        <w:rPr>
          <w:rFonts w:eastAsia="Times New Roman" w:cs="Times New Roman"/>
          <w:szCs w:val="24"/>
        </w:rPr>
        <w:t>programs</w:t>
      </w:r>
      <w:r w:rsidRPr="00FB5144">
        <w:rPr>
          <w:rFonts w:eastAsia="Times New Roman" w:cs="Times New Roman"/>
          <w:szCs w:val="24"/>
        </w:rPr>
        <w:t xml:space="preserve"> and predictive analytics, are used (Deloitte, 2023). In combination, these opportunities contribute to a gradual diversification and long-term repositioning.</w:t>
      </w:r>
    </w:p>
    <w:p w:rsidR="00FB5144" w:rsidRPr="00FB5144" w:rsidRDefault="00FB5144" w:rsidP="00DF3B7C">
      <w:pPr>
        <w:spacing w:after="0" w:line="480" w:lineRule="auto"/>
        <w:ind w:firstLine="720"/>
        <w:rPr>
          <w:rFonts w:eastAsia="Times New Roman" w:cs="Times New Roman"/>
          <w:szCs w:val="24"/>
        </w:rPr>
      </w:pPr>
      <w:r w:rsidRPr="00FB5144">
        <w:rPr>
          <w:rFonts w:eastAsia="Times New Roman" w:cs="Times New Roman"/>
          <w:szCs w:val="24"/>
        </w:rPr>
        <w:t xml:space="preserve">However, the main threat is the structural </w:t>
      </w:r>
      <w:r w:rsidR="000D1E37" w:rsidRPr="00DF3B7C">
        <w:rPr>
          <w:rFonts w:eastAsia="Times New Roman" w:cs="Times New Roman"/>
          <w:szCs w:val="24"/>
        </w:rPr>
        <w:t xml:space="preserve">decline in fuel demand. Global oil </w:t>
      </w:r>
      <w:r w:rsidRPr="00FB5144">
        <w:rPr>
          <w:rFonts w:eastAsia="Times New Roman" w:cs="Times New Roman"/>
          <w:szCs w:val="24"/>
        </w:rPr>
        <w:t xml:space="preserve">demand is projected by Wood Mackenzie to reach a peak in core markets around 2025, and then decline annually, 2–3 percent in the key markets (Wood Mackenzie, 2024). This change is being driven by regulatory policies, such as the EU Fit for 55 package and the 2030 ICE ban in the UK, which amplify the risk of stranded refining assets (Bloomberg, 2024). Moreover, the competitiveness of </w:t>
      </w:r>
      <w:r w:rsidRPr="00FB5144">
        <w:rPr>
          <w:rFonts w:eastAsia="Times New Roman" w:cs="Times New Roman"/>
          <w:szCs w:val="24"/>
        </w:rPr>
        <w:lastRenderedPageBreak/>
        <w:t xml:space="preserve">EV-oriented companies like Tesla and </w:t>
      </w:r>
      <w:proofErr w:type="spellStart"/>
      <w:r w:rsidRPr="00FB5144">
        <w:rPr>
          <w:rFonts w:eastAsia="Times New Roman" w:cs="Times New Roman"/>
          <w:szCs w:val="24"/>
        </w:rPr>
        <w:t>Ionity</w:t>
      </w:r>
      <w:proofErr w:type="spellEnd"/>
      <w:r w:rsidRPr="00FB5144">
        <w:rPr>
          <w:rFonts w:eastAsia="Times New Roman" w:cs="Times New Roman"/>
          <w:szCs w:val="24"/>
        </w:rPr>
        <w:t xml:space="preserve"> is also exerting an additional strain on the margins (Reuters, 2024). These combined forces make the transition urgent rather than optional.</w:t>
      </w:r>
    </w:p>
    <w:p w:rsidR="00FB5144" w:rsidRPr="00FB5144" w:rsidRDefault="00FB5144" w:rsidP="00DF3B7C">
      <w:pPr>
        <w:spacing w:after="0" w:line="480" w:lineRule="auto"/>
        <w:ind w:firstLine="720"/>
        <w:rPr>
          <w:rFonts w:eastAsia="Times New Roman" w:cs="Times New Roman"/>
          <w:szCs w:val="24"/>
        </w:rPr>
      </w:pPr>
      <w:r w:rsidRPr="00FB5144">
        <w:rPr>
          <w:rFonts w:eastAsia="Times New Roman" w:cs="Times New Roman"/>
          <w:szCs w:val="24"/>
        </w:rPr>
        <w:t xml:space="preserve">On an internal level, BP enjoys the advantage of a strong brand equity, vertical integration, and a large retail network that is supported by Castrol and </w:t>
      </w:r>
      <w:proofErr w:type="spellStart"/>
      <w:r w:rsidRPr="00FB5144">
        <w:rPr>
          <w:rFonts w:eastAsia="Times New Roman" w:cs="Times New Roman"/>
          <w:szCs w:val="24"/>
        </w:rPr>
        <w:t>BPme</w:t>
      </w:r>
      <w:proofErr w:type="spellEnd"/>
      <w:r w:rsidR="00DF3B7C" w:rsidRPr="00DF3B7C">
        <w:rPr>
          <w:rFonts w:eastAsia="Times New Roman" w:cs="Times New Roman"/>
          <w:szCs w:val="24"/>
        </w:rPr>
        <w:t xml:space="preserve"> </w:t>
      </w:r>
      <w:r w:rsidR="00DF3B7C" w:rsidRPr="00DF3B7C">
        <w:rPr>
          <w:rFonts w:cs="Times New Roman"/>
          <w:szCs w:val="24"/>
        </w:rPr>
        <w:t>(BP, 2024b)</w:t>
      </w:r>
      <w:r w:rsidRPr="00FB5144">
        <w:rPr>
          <w:rFonts w:eastAsia="Times New Roman" w:cs="Times New Roman"/>
          <w:szCs w:val="24"/>
        </w:rPr>
        <w:t>. Nevertheless, the existence of such weaknesses as excessive carbon emission, operations reliant on assets, and a culture constructed on fossil fuels undermine flexibility and delays adaptation (BP, 2024</w:t>
      </w:r>
      <w:r w:rsidR="00DF3B7C" w:rsidRPr="00DF3B7C">
        <w:rPr>
          <w:rFonts w:eastAsia="Times New Roman" w:cs="Times New Roman"/>
          <w:szCs w:val="24"/>
        </w:rPr>
        <w:t>b</w:t>
      </w:r>
      <w:r w:rsidRPr="00FB5144">
        <w:rPr>
          <w:rFonts w:eastAsia="Times New Roman" w:cs="Times New Roman"/>
          <w:szCs w:val="24"/>
        </w:rPr>
        <w:t>; Deloitte, 2023). To achieve efficient change, it is crucial to address this gap.</w:t>
      </w:r>
    </w:p>
    <w:p w:rsidR="00FB5144" w:rsidRPr="00DF3B7C" w:rsidRDefault="00FB5144" w:rsidP="00DF3B7C">
      <w:pPr>
        <w:spacing w:after="0" w:line="480" w:lineRule="auto"/>
        <w:ind w:firstLine="720"/>
        <w:rPr>
          <w:rFonts w:eastAsia="Times New Roman" w:cs="Times New Roman"/>
          <w:szCs w:val="24"/>
        </w:rPr>
      </w:pPr>
      <w:r w:rsidRPr="00FB5144">
        <w:rPr>
          <w:rFonts w:eastAsia="Times New Roman" w:cs="Times New Roman"/>
          <w:szCs w:val="24"/>
        </w:rPr>
        <w:t>SO strategies aim to leverage the BP retail network and scale EV charging. WO strategies reduce dependence on fuel through retail and digital growth. ST strategies leverage financial power to fight against new entrants. WT strategies involve the disposal of low-performing assets to free up capital to grow.</w:t>
      </w:r>
    </w:p>
    <w:p w:rsidR="00DF3B7C" w:rsidRPr="00FB5144" w:rsidRDefault="00DF3B7C" w:rsidP="00DF3B7C">
      <w:pPr>
        <w:spacing w:after="0" w:line="480" w:lineRule="auto"/>
        <w:ind w:firstLine="720"/>
        <w:rPr>
          <w:rFonts w:eastAsia="Times New Roman" w:cs="Times New Roman"/>
          <w:b/>
          <w:szCs w:val="24"/>
        </w:rPr>
      </w:pPr>
    </w:p>
    <w:p w:rsidR="00FB5144" w:rsidRPr="00DF3B7C" w:rsidRDefault="00DF3B7C" w:rsidP="00DF3B7C">
      <w:pPr>
        <w:spacing w:after="0" w:line="480" w:lineRule="auto"/>
        <w:rPr>
          <w:rFonts w:cs="Times New Roman"/>
          <w:b/>
          <w:i/>
          <w:szCs w:val="24"/>
        </w:rPr>
      </w:pPr>
      <w:r w:rsidRPr="00DF3B7C">
        <w:rPr>
          <w:rStyle w:val="Strong"/>
          <w:rFonts w:cs="Times New Roman"/>
          <w:bCs w:val="0"/>
          <w:i/>
          <w:szCs w:val="24"/>
        </w:rPr>
        <w:t>Business Portfolio Analysis: BCG Matrix</w:t>
      </w:r>
    </w:p>
    <w:p w:rsidR="00DF3B7C" w:rsidRPr="00DF3B7C" w:rsidRDefault="00FB5144" w:rsidP="00DF3B7C">
      <w:pPr>
        <w:spacing w:after="0" w:line="480" w:lineRule="auto"/>
        <w:ind w:firstLine="720"/>
        <w:rPr>
          <w:rFonts w:eastAsia="Times New Roman" w:cs="Times New Roman"/>
          <w:szCs w:val="24"/>
        </w:rPr>
      </w:pPr>
      <w:r w:rsidRPr="00FB5144">
        <w:rPr>
          <w:rFonts w:eastAsia="Times New Roman" w:cs="Times New Roman"/>
          <w:szCs w:val="24"/>
        </w:rPr>
        <w:t>The BCG Matrix outlines that the portfolio BP Customers &amp; Products is in a state of transition and not balanced, with the legacy businesses financing the growth areas that are not yet sufficiently scaled (Grant, 2022). This produces a strategic gap between the point of generation of value and t</w:t>
      </w:r>
      <w:r w:rsidR="00DF3B7C" w:rsidRPr="00DF3B7C">
        <w:rPr>
          <w:rFonts w:eastAsia="Times New Roman" w:cs="Times New Roman"/>
          <w:szCs w:val="24"/>
        </w:rPr>
        <w:t>he point of future development.</w:t>
      </w:r>
    </w:p>
    <w:p w:rsidR="00DF3B7C" w:rsidRPr="00DF3B7C" w:rsidRDefault="00FB5144" w:rsidP="00DF3B7C">
      <w:pPr>
        <w:spacing w:after="0" w:line="480" w:lineRule="auto"/>
        <w:ind w:firstLine="720"/>
        <w:rPr>
          <w:rFonts w:eastAsia="Times New Roman" w:cs="Times New Roman"/>
          <w:szCs w:val="24"/>
        </w:rPr>
      </w:pPr>
      <w:r w:rsidRPr="00FB5144">
        <w:rPr>
          <w:rFonts w:eastAsia="Times New Roman" w:cs="Times New Roman"/>
          <w:szCs w:val="24"/>
        </w:rPr>
        <w:t xml:space="preserve">BP Pulse, convenience retail, and premium fuels are all considered to be of different degrees of maturity. BP Pulse is in the dynamic EV charging sector, where demand is likely to grow substantially by 2030 (IEA, 2024). Although the business has grown at a rapid rate including over 19,000 charging points, the business is capital intensive and has not yet become consistently profitable meaning that the business is becoming a star only on the basis of continued capital expenditure. Likewise, convenience retail also has a good growth potential, and </w:t>
      </w:r>
      <w:r w:rsidRPr="00FB5144">
        <w:rPr>
          <w:rFonts w:eastAsia="Times New Roman" w:cs="Times New Roman"/>
          <w:szCs w:val="24"/>
        </w:rPr>
        <w:lastRenderedPageBreak/>
        <w:t>partnerships with companies like Marks &amp; Spencer enhance the growth potential and diversify the revenue streams (BP, 2024</w:t>
      </w:r>
      <w:r w:rsidR="00DF3B7C" w:rsidRPr="00DF3B7C">
        <w:rPr>
          <w:rFonts w:eastAsia="Times New Roman" w:cs="Times New Roman"/>
          <w:szCs w:val="24"/>
        </w:rPr>
        <w:t>a</w:t>
      </w:r>
      <w:r w:rsidRPr="00FB5144">
        <w:rPr>
          <w:rFonts w:eastAsia="Times New Roman" w:cs="Times New Roman"/>
          <w:szCs w:val="24"/>
        </w:rPr>
        <w:t>). Selective growth occurs due to differentiation as provided by premium fuels, but their long term applicability is tied to declining internal combustion markets. Together, these stars point to progress, but also emphasize that the future growth engines of BP are still in their developing</w:t>
      </w:r>
      <w:r w:rsidR="00DF3B7C" w:rsidRPr="00DF3B7C">
        <w:rPr>
          <w:rFonts w:eastAsia="Times New Roman" w:cs="Times New Roman"/>
          <w:szCs w:val="24"/>
        </w:rPr>
        <w:t xml:space="preserve"> phase and not fully developed.</w:t>
      </w:r>
    </w:p>
    <w:p w:rsidR="00DF3B7C" w:rsidRPr="00DF3B7C" w:rsidRDefault="00FB5144" w:rsidP="00DF3B7C">
      <w:pPr>
        <w:spacing w:after="0" w:line="480" w:lineRule="auto"/>
        <w:ind w:firstLine="720"/>
        <w:rPr>
          <w:rFonts w:eastAsia="Times New Roman" w:cs="Times New Roman"/>
          <w:szCs w:val="24"/>
        </w:rPr>
      </w:pPr>
      <w:r w:rsidRPr="00FB5144">
        <w:rPr>
          <w:rFonts w:eastAsia="Times New Roman" w:cs="Times New Roman"/>
          <w:szCs w:val="24"/>
        </w:rPr>
        <w:t>Traditional fuels and Castrol lubricants, cash cows, continue to play a central role in the financial performance of the segment. Fuel retail has large cash flows and is considered to be weak because of falling demand, whereas Castrol has a strong brand equity and low capital intensity (BP, 2024</w:t>
      </w:r>
      <w:r w:rsidR="00DF3B7C" w:rsidRPr="00DF3B7C">
        <w:rPr>
          <w:rFonts w:eastAsia="Times New Roman" w:cs="Times New Roman"/>
          <w:szCs w:val="24"/>
        </w:rPr>
        <w:t>a</w:t>
      </w:r>
      <w:r w:rsidRPr="00FB5144">
        <w:rPr>
          <w:rFonts w:eastAsia="Times New Roman" w:cs="Times New Roman"/>
          <w:szCs w:val="24"/>
        </w:rPr>
        <w:t>). These are not strategically significant because they facilitate expansion, but because they finance change. Nonetheless, dependence on these cash flows is risky because when demand falls, there will come a point where they will not be able to sustain investment.</w:t>
      </w:r>
      <w:r w:rsidRPr="00FB5144">
        <w:rPr>
          <w:rFonts w:eastAsia="Times New Roman" w:cs="Times New Roman"/>
          <w:szCs w:val="24"/>
        </w:rPr>
        <w:br/>
        <w:t>Strategic uncertainty is represented by question marks, like biofuels and hydrogen. Even though these markets are projected to grow, BP is not currently a dominant player, and its conservative stance on investments may lead to optimal performance results. This middle-ground position is deplorable, in that it does not win leade</w:t>
      </w:r>
      <w:r w:rsidR="00DF3B7C" w:rsidRPr="00DF3B7C">
        <w:rPr>
          <w:rFonts w:eastAsia="Times New Roman" w:cs="Times New Roman"/>
          <w:szCs w:val="24"/>
        </w:rPr>
        <w:t xml:space="preserve">rship nor does it completely </w:t>
      </w:r>
      <w:proofErr w:type="spellStart"/>
      <w:r w:rsidR="00DF3B7C" w:rsidRPr="00DF3B7C">
        <w:rPr>
          <w:rFonts w:eastAsia="Times New Roman" w:cs="Times New Roman"/>
          <w:szCs w:val="24"/>
        </w:rPr>
        <w:t>uncapitalize</w:t>
      </w:r>
      <w:proofErr w:type="spellEnd"/>
      <w:r w:rsidR="00DF3B7C" w:rsidRPr="00DF3B7C">
        <w:rPr>
          <w:rFonts w:eastAsia="Times New Roman" w:cs="Times New Roman"/>
          <w:szCs w:val="24"/>
        </w:rPr>
        <w:t xml:space="preserve"> on other priorities.</w:t>
      </w:r>
    </w:p>
    <w:p w:rsidR="00705124" w:rsidRPr="00705124" w:rsidRDefault="00FB5144" w:rsidP="00DF3B7C">
      <w:pPr>
        <w:spacing w:after="0" w:line="480" w:lineRule="auto"/>
        <w:ind w:firstLine="720"/>
        <w:rPr>
          <w:rFonts w:eastAsia="Times New Roman" w:cs="Times New Roman"/>
          <w:szCs w:val="24"/>
        </w:rPr>
      </w:pPr>
      <w:r w:rsidRPr="00FB5144">
        <w:rPr>
          <w:rFonts w:eastAsia="Times New Roman" w:cs="Times New Roman"/>
          <w:szCs w:val="24"/>
        </w:rPr>
        <w:t>Dog businesses, such as underperforming refining assets and low-value retail sites, continue to dilute returns. Although BP has already initiated the process of divestment, the deployment of the measures does not seem to be as rapid as compared to the decline of the market, suggesting a reactive, as opposed to a proactive approach.</w:t>
      </w:r>
      <w:r w:rsidRPr="00FB5144">
        <w:rPr>
          <w:rFonts w:eastAsia="Times New Roman" w:cs="Times New Roman"/>
          <w:szCs w:val="24"/>
        </w:rPr>
        <w:br/>
        <w:t>All in all, the portfolio analysis shows that the strategy of BP is directionally correct but not decisive enough. More reallocation of capital to growth zones and quicker sell-off of scapegoats should be undertaken in an effort to realign the portfolio with future market conditions.</w:t>
      </w:r>
    </w:p>
    <w:p w:rsidR="009177B4" w:rsidRPr="009177B4" w:rsidRDefault="00DF3B7C" w:rsidP="00DF3B7C">
      <w:pPr>
        <w:spacing w:after="0" w:line="480" w:lineRule="auto"/>
        <w:outlineLvl w:val="2"/>
        <w:rPr>
          <w:rFonts w:eastAsia="Times New Roman" w:cs="Times New Roman"/>
          <w:b/>
          <w:bCs/>
          <w:i/>
          <w:szCs w:val="24"/>
        </w:rPr>
      </w:pPr>
      <w:r w:rsidRPr="00DF3B7C">
        <w:rPr>
          <w:rFonts w:eastAsia="Times New Roman" w:cs="Times New Roman"/>
          <w:b/>
          <w:bCs/>
          <w:i/>
          <w:szCs w:val="24"/>
        </w:rPr>
        <w:lastRenderedPageBreak/>
        <w:t>Sustainability and Environmental Approach</w:t>
      </w:r>
    </w:p>
    <w:p w:rsidR="00DF3B7C" w:rsidRPr="00DF3B7C" w:rsidRDefault="00D73D20" w:rsidP="00DF3B7C">
      <w:pPr>
        <w:spacing w:after="0" w:line="480" w:lineRule="auto"/>
        <w:ind w:firstLine="720"/>
        <w:rPr>
          <w:rFonts w:eastAsia="Times New Roman" w:cs="Times New Roman"/>
          <w:szCs w:val="24"/>
        </w:rPr>
      </w:pPr>
      <w:r w:rsidRPr="00D73D20">
        <w:rPr>
          <w:rFonts w:eastAsia="Times New Roman" w:cs="Times New Roman"/>
          <w:szCs w:val="24"/>
        </w:rPr>
        <w:t>The tension that can be observed in the sustainability strategy of BP is between the ability to continue to achieve short-term profitability due to its carbon-intensive operations and providing a credible transition to net zero. This poses continuous implementation challenges and casts doubt on the uniformity of its s</w:t>
      </w:r>
      <w:r w:rsidR="00DF3B7C" w:rsidRPr="00DF3B7C">
        <w:rPr>
          <w:rFonts w:eastAsia="Times New Roman" w:cs="Times New Roman"/>
          <w:szCs w:val="24"/>
        </w:rPr>
        <w:t>trategic commitment (BP, 2024).</w:t>
      </w:r>
    </w:p>
    <w:p w:rsidR="00DF3B7C" w:rsidRPr="00DF3B7C" w:rsidRDefault="00D73D20" w:rsidP="00DF3B7C">
      <w:pPr>
        <w:spacing w:after="0" w:line="480" w:lineRule="auto"/>
        <w:ind w:firstLine="720"/>
        <w:rPr>
          <w:rFonts w:eastAsia="Times New Roman" w:cs="Times New Roman"/>
          <w:szCs w:val="24"/>
        </w:rPr>
      </w:pPr>
      <w:r w:rsidRPr="00D73D20">
        <w:rPr>
          <w:rFonts w:eastAsia="Times New Roman" w:cs="Times New Roman"/>
          <w:szCs w:val="24"/>
        </w:rPr>
        <w:t>The targets established by the 2020 reset of BP are ambitious and aim to accomplish the goals across Scope 1, 2, and 3 emissions by 2050, which positions it as a leader in the integrated oil companies (BP, 2020). Nonetheless, there is still uneven progress. By 2024, operational emissions have decreased by approximately 20 percent, which is well below the 50 percent target by 2030, and renewable capacity has reached only 6GW against a 50GW goal (BP, 2024). More importantly, the Scope 3 emissions due to customer fuel consumption make up about 90% of the overall map of BP, but are also largely unaddressed beyond limited fuel blending (BP, 2024). This implies the existence of a structural disconnect between ambition and execution because the fundamental revenue model still re</w:t>
      </w:r>
      <w:r w:rsidR="00DF3B7C" w:rsidRPr="00DF3B7C">
        <w:rPr>
          <w:rFonts w:eastAsia="Times New Roman" w:cs="Times New Roman"/>
          <w:szCs w:val="24"/>
        </w:rPr>
        <w:t>lies on high-emission products.</w:t>
      </w:r>
    </w:p>
    <w:p w:rsidR="00DF3B7C" w:rsidRPr="00DF3B7C" w:rsidRDefault="00D73D20" w:rsidP="00DF3B7C">
      <w:pPr>
        <w:spacing w:after="0" w:line="480" w:lineRule="auto"/>
        <w:ind w:firstLine="720"/>
        <w:rPr>
          <w:rFonts w:eastAsia="Times New Roman" w:cs="Times New Roman"/>
          <w:szCs w:val="24"/>
        </w:rPr>
      </w:pPr>
      <w:r w:rsidRPr="00D73D20">
        <w:rPr>
          <w:rFonts w:eastAsia="Times New Roman" w:cs="Times New Roman"/>
          <w:szCs w:val="24"/>
        </w:rPr>
        <w:t xml:space="preserve">The strategy of BP is more similar to the Creating Shared Value (CSV) strategy, which involves embedding sustainability in a commercial activity as opposed to regarding it as a distinct responsibility (Porter and Kramer, 2011). Some of the initiatives like the BP Pulse, have demonstrated this strategy by connecting growth with reducing emissions. However, this narrative is weakened by strategic inconsistencies. Recalibration under CEO </w:t>
      </w:r>
      <w:proofErr w:type="spellStart"/>
      <w:r w:rsidRPr="00D73D20">
        <w:rPr>
          <w:rFonts w:eastAsia="Times New Roman" w:cs="Times New Roman"/>
          <w:szCs w:val="24"/>
        </w:rPr>
        <w:t>Auchincloss</w:t>
      </w:r>
      <w:proofErr w:type="spellEnd"/>
      <w:r w:rsidRPr="00D73D20">
        <w:rPr>
          <w:rFonts w:eastAsia="Times New Roman" w:cs="Times New Roman"/>
          <w:szCs w:val="24"/>
        </w:rPr>
        <w:t xml:space="preserve"> in 2023 lowered renewable targets and increased oil production in the short term, which was widely criticized by investors and environmental groups (Financial Times, 2024). These determinations affirm the notions that financial concerns continue to prevail as part of transition objectives.</w:t>
      </w:r>
    </w:p>
    <w:p w:rsidR="00D73D20" w:rsidRPr="00D73D20" w:rsidRDefault="00D73D20" w:rsidP="00DF3B7C">
      <w:pPr>
        <w:spacing w:after="0" w:line="480" w:lineRule="auto"/>
        <w:ind w:firstLine="720"/>
        <w:rPr>
          <w:rFonts w:eastAsia="Times New Roman" w:cs="Times New Roman"/>
          <w:szCs w:val="24"/>
        </w:rPr>
      </w:pPr>
      <w:r w:rsidRPr="00D73D20">
        <w:rPr>
          <w:rFonts w:eastAsia="Times New Roman" w:cs="Times New Roman"/>
          <w:szCs w:val="24"/>
        </w:rPr>
        <w:lastRenderedPageBreak/>
        <w:t>In general, the sustainability strategy of BP is an inconsistent transition that is managed. Although it is a commitment that is aligned with SDG 7 and SDG 13, the continued investment in new oil developments makes their credibility questionable (Bloomberg, 2024; UN, 2023). Consequently, the existing rate of change is a threat to strengthening the stakeholder anxieties about greenwashing instead of fostering long-term trust.</w:t>
      </w:r>
    </w:p>
    <w:p w:rsidR="009177B4" w:rsidRPr="009177B4" w:rsidRDefault="00DF3B7C" w:rsidP="00DF3B7C">
      <w:pPr>
        <w:spacing w:after="0" w:line="480" w:lineRule="auto"/>
        <w:rPr>
          <w:rFonts w:eastAsia="Times New Roman" w:cs="Times New Roman"/>
          <w:b/>
          <w:i/>
          <w:szCs w:val="24"/>
        </w:rPr>
      </w:pPr>
      <w:r w:rsidRPr="00DF3B7C">
        <w:rPr>
          <w:rFonts w:eastAsia="Times New Roman" w:cs="Times New Roman"/>
          <w:b/>
          <w:bCs/>
          <w:i/>
          <w:szCs w:val="24"/>
        </w:rPr>
        <w:t>Innovation and Entrepreneurialism</w:t>
      </w:r>
    </w:p>
    <w:p w:rsidR="00DF3B7C" w:rsidRPr="00DF3B7C" w:rsidRDefault="00D73D20" w:rsidP="00DF3B7C">
      <w:pPr>
        <w:spacing w:after="0" w:line="480" w:lineRule="auto"/>
        <w:ind w:firstLine="720"/>
        <w:rPr>
          <w:rFonts w:eastAsia="Times New Roman" w:cs="Times New Roman"/>
          <w:szCs w:val="24"/>
        </w:rPr>
      </w:pPr>
      <w:r w:rsidRPr="00D73D20">
        <w:rPr>
          <w:rFonts w:eastAsia="Times New Roman" w:cs="Times New Roman"/>
          <w:szCs w:val="24"/>
        </w:rPr>
        <w:t>The Customers and Products segment of BP exhibits credible products, business models, and online engagement innovation, but its rate is slower than that of pure-play technology entrants, and it therefore limits its ability to influence emerging energy markets (Deloitte, 2023). This implies that innovation is present, but it has not yet been disruptive enough to be ab</w:t>
      </w:r>
      <w:r w:rsidR="00DF3B7C" w:rsidRPr="00DF3B7C">
        <w:rPr>
          <w:rFonts w:eastAsia="Times New Roman" w:cs="Times New Roman"/>
          <w:szCs w:val="24"/>
        </w:rPr>
        <w:t>le to gain a long-term benefit.</w:t>
      </w:r>
    </w:p>
    <w:p w:rsidR="00DF3B7C" w:rsidRPr="00DF3B7C" w:rsidRDefault="00D73D20" w:rsidP="00DF3B7C">
      <w:pPr>
        <w:spacing w:after="0" w:line="480" w:lineRule="auto"/>
        <w:ind w:firstLine="720"/>
        <w:rPr>
          <w:rFonts w:eastAsia="Times New Roman" w:cs="Times New Roman"/>
          <w:szCs w:val="24"/>
        </w:rPr>
      </w:pPr>
      <w:r w:rsidRPr="00D73D20">
        <w:rPr>
          <w:rFonts w:eastAsia="Times New Roman" w:cs="Times New Roman"/>
          <w:szCs w:val="24"/>
        </w:rPr>
        <w:t>The innovation strategy of BP is a hybrid of the technology-driven and the market-driven forces. Technology-push can be seen in the more advanced fuel formulations like BP Ultimate with ACTIVE technology, where the in-house R&amp;D allows the company to differentiate its products and offer premium prices (BP, 2024). Conversely, market-pull innovation is more apparent in BP Pulse, which does not seek to create demand but instead responds to the growing demand for EV charging (IEA, 2024). This move towards customer driven innovation is a strategic adjustment, but it also shows that BP is responding to, not driving, market</w:t>
      </w:r>
      <w:r w:rsidR="00DF3B7C" w:rsidRPr="00DF3B7C">
        <w:rPr>
          <w:rFonts w:eastAsia="Times New Roman" w:cs="Times New Roman"/>
          <w:szCs w:val="24"/>
        </w:rPr>
        <w:t xml:space="preserve"> change.</w:t>
      </w:r>
    </w:p>
    <w:p w:rsidR="00DF3B7C" w:rsidRPr="00DF3B7C" w:rsidRDefault="00D73D20" w:rsidP="00DF3B7C">
      <w:pPr>
        <w:spacing w:after="0" w:line="480" w:lineRule="auto"/>
        <w:ind w:firstLine="720"/>
        <w:rPr>
          <w:rFonts w:eastAsia="Times New Roman" w:cs="Times New Roman"/>
          <w:szCs w:val="24"/>
        </w:rPr>
      </w:pPr>
      <w:r w:rsidRPr="00D73D20">
        <w:rPr>
          <w:rFonts w:eastAsia="Times New Roman" w:cs="Times New Roman"/>
          <w:szCs w:val="24"/>
        </w:rPr>
        <w:t xml:space="preserve">More fundamentally, the main innovation that BP has introduced is an architectural one: the turn of fuel stations into multi-energy centers combining fuels, EV charging, and retail (Johnson et al., 2023). This exploits the existing infrastructure with the repositioning of the customer value proposition. Nevertheless, BP Pulse itself symbolizes self-disruption, as it is gradually replacing fuel-based revenues with electricity-based models (Grant, 2022). This puts </w:t>
      </w:r>
      <w:r w:rsidRPr="00D73D20">
        <w:rPr>
          <w:rFonts w:eastAsia="Times New Roman" w:cs="Times New Roman"/>
          <w:szCs w:val="24"/>
        </w:rPr>
        <w:lastRenderedPageBreak/>
        <w:t>internal pressure between using the existing assets and hastening the transition, slacking decis</w:t>
      </w:r>
      <w:r w:rsidR="00DF3B7C" w:rsidRPr="00DF3B7C">
        <w:rPr>
          <w:rFonts w:eastAsia="Times New Roman" w:cs="Times New Roman"/>
          <w:szCs w:val="24"/>
        </w:rPr>
        <w:t>ion-making, and implementation.</w:t>
      </w:r>
    </w:p>
    <w:p w:rsidR="00D73D20" w:rsidRPr="00DF3B7C" w:rsidRDefault="00D73D20" w:rsidP="00DF3B7C">
      <w:pPr>
        <w:spacing w:after="0" w:line="480" w:lineRule="auto"/>
        <w:ind w:firstLine="720"/>
        <w:rPr>
          <w:rFonts w:eastAsia="Times New Roman" w:cs="Times New Roman"/>
          <w:szCs w:val="24"/>
        </w:rPr>
      </w:pPr>
      <w:r w:rsidRPr="00D73D20">
        <w:rPr>
          <w:rFonts w:eastAsia="Times New Roman" w:cs="Times New Roman"/>
          <w:szCs w:val="24"/>
        </w:rPr>
        <w:t xml:space="preserve">There is more and more reliance on open innovation in the form of partnerships and ventures as the company acknowledges capability gaps in new technologies (BP, 2024). However, </w:t>
      </w:r>
      <w:proofErr w:type="spellStart"/>
      <w:r w:rsidRPr="00D73D20">
        <w:rPr>
          <w:rFonts w:eastAsia="Times New Roman" w:cs="Times New Roman"/>
          <w:szCs w:val="24"/>
        </w:rPr>
        <w:t>organisation</w:t>
      </w:r>
      <w:proofErr w:type="spellEnd"/>
      <w:r w:rsidRPr="00D73D20">
        <w:rPr>
          <w:rFonts w:eastAsia="Times New Roman" w:cs="Times New Roman"/>
          <w:szCs w:val="24"/>
        </w:rPr>
        <w:t xml:space="preserve"> culture is still a bottleneck, and the risk-aversion and short-term financial concerns are restricting entrepreneurial aspiration. Consequently, by acting as a fast follower, rather than a market leader in EV infrastructure, BP is taking a risky course in platform-based markets where scale and early positioning define long-term winners.</w:t>
      </w:r>
    </w:p>
    <w:p w:rsidR="00DF3B7C" w:rsidRPr="00D73D20" w:rsidRDefault="00DF3B7C" w:rsidP="00DF3B7C">
      <w:pPr>
        <w:spacing w:after="0" w:line="480" w:lineRule="auto"/>
        <w:ind w:firstLine="720"/>
        <w:rPr>
          <w:rFonts w:eastAsia="Times New Roman" w:cs="Times New Roman"/>
          <w:szCs w:val="24"/>
        </w:rPr>
      </w:pPr>
    </w:p>
    <w:p w:rsidR="009177B4" w:rsidRPr="009177B4" w:rsidRDefault="00DF3B7C" w:rsidP="00DF3B7C">
      <w:pPr>
        <w:spacing w:after="0" w:line="480" w:lineRule="auto"/>
        <w:outlineLvl w:val="2"/>
        <w:rPr>
          <w:rFonts w:eastAsia="Times New Roman" w:cs="Times New Roman"/>
          <w:b/>
          <w:bCs/>
          <w:i/>
          <w:szCs w:val="24"/>
        </w:rPr>
      </w:pPr>
      <w:r w:rsidRPr="00DF3B7C">
        <w:rPr>
          <w:rFonts w:eastAsia="Times New Roman" w:cs="Times New Roman"/>
          <w:b/>
          <w:bCs/>
          <w:i/>
          <w:szCs w:val="24"/>
        </w:rPr>
        <w:t>Business Change and Leadership</w:t>
      </w:r>
    </w:p>
    <w:p w:rsidR="000D1E37" w:rsidRPr="00DF3B7C" w:rsidRDefault="000D1E37" w:rsidP="00DF3B7C">
      <w:pPr>
        <w:spacing w:after="0" w:line="480" w:lineRule="auto"/>
        <w:ind w:firstLine="720"/>
        <w:rPr>
          <w:rFonts w:eastAsia="Times New Roman" w:cs="Times New Roman"/>
          <w:szCs w:val="24"/>
        </w:rPr>
      </w:pPr>
      <w:r w:rsidRPr="000D1E37">
        <w:rPr>
          <w:rFonts w:eastAsia="Times New Roman" w:cs="Times New Roman"/>
          <w:szCs w:val="24"/>
        </w:rPr>
        <w:t xml:space="preserve">The transition between 2020 and 2024 has revealed an open rift between ambition to transform and financial discipline within BP (Financial Times, 2024). The appointment of Bernard Looney in 2020 </w:t>
      </w:r>
      <w:proofErr w:type="spellStart"/>
      <w:r w:rsidRPr="000D1E37">
        <w:rPr>
          <w:rFonts w:eastAsia="Times New Roman" w:cs="Times New Roman"/>
          <w:szCs w:val="24"/>
        </w:rPr>
        <w:t>signalled</w:t>
      </w:r>
      <w:proofErr w:type="spellEnd"/>
      <w:r w:rsidRPr="000D1E37">
        <w:rPr>
          <w:rFonts w:eastAsia="Times New Roman" w:cs="Times New Roman"/>
          <w:szCs w:val="24"/>
        </w:rPr>
        <w:t xml:space="preserve"> a bold strategic change, with the promise of net zero by 2050, a 40 per cent reduction in oil production, and increased investment in renewable sources and charging EVs, building a strong ESG credibility (BP, 2020). His sudden resignation in 2023, however, left a strategic gap. Murray </w:t>
      </w:r>
      <w:proofErr w:type="spellStart"/>
      <w:r w:rsidRPr="000D1E37">
        <w:rPr>
          <w:rFonts w:eastAsia="Times New Roman" w:cs="Times New Roman"/>
          <w:szCs w:val="24"/>
        </w:rPr>
        <w:t>Auchincloss</w:t>
      </w:r>
      <w:proofErr w:type="spellEnd"/>
      <w:r w:rsidRPr="000D1E37">
        <w:rPr>
          <w:rFonts w:eastAsia="Times New Roman" w:cs="Times New Roman"/>
          <w:szCs w:val="24"/>
        </w:rPr>
        <w:t xml:space="preserve"> later re-normed priorities to focus on near-term returns and tempered renewable targets, enhancing financial discipline but weakening strategic articulation and inconsistent </w:t>
      </w:r>
      <w:proofErr w:type="spellStart"/>
      <w:r w:rsidRPr="000D1E37">
        <w:rPr>
          <w:rFonts w:eastAsia="Times New Roman" w:cs="Times New Roman"/>
          <w:szCs w:val="24"/>
        </w:rPr>
        <w:t>signalling</w:t>
      </w:r>
      <w:proofErr w:type="spellEnd"/>
      <w:r w:rsidRPr="000D1E37">
        <w:rPr>
          <w:rFonts w:eastAsia="Times New Roman" w:cs="Times New Roman"/>
          <w:szCs w:val="24"/>
        </w:rPr>
        <w:t xml:space="preserve"> to both investors and employees (BP, 2024). The problem can be viewed by applying the model of change developed by Kotter (2012): the initial stages of urgency, vision, and communication were </w:t>
      </w:r>
      <w:r w:rsidRPr="00DF3B7C">
        <w:rPr>
          <w:rFonts w:eastAsia="Times New Roman" w:cs="Times New Roman"/>
          <w:szCs w:val="24"/>
        </w:rPr>
        <w:t>realized</w:t>
      </w:r>
      <w:r w:rsidRPr="000D1E37">
        <w:rPr>
          <w:rFonts w:eastAsia="Times New Roman" w:cs="Times New Roman"/>
          <w:szCs w:val="24"/>
        </w:rPr>
        <w:t xml:space="preserve"> during the period when Looney led the company; however, since the cultural embedding to </w:t>
      </w:r>
      <w:r w:rsidRPr="00DF3B7C">
        <w:rPr>
          <w:rFonts w:eastAsia="Times New Roman" w:cs="Times New Roman"/>
          <w:szCs w:val="24"/>
        </w:rPr>
        <w:t>institutionalize</w:t>
      </w:r>
      <w:r w:rsidRPr="000D1E37">
        <w:rPr>
          <w:rFonts w:eastAsia="Times New Roman" w:cs="Times New Roman"/>
          <w:szCs w:val="24"/>
        </w:rPr>
        <w:t xml:space="preserve"> transformation was not completed, it can be concluded that the problem under discussion remains unresolved. Restructuring of </w:t>
      </w:r>
      <w:r w:rsidRPr="00DF3B7C">
        <w:rPr>
          <w:rFonts w:eastAsia="Times New Roman" w:cs="Times New Roman"/>
          <w:szCs w:val="24"/>
        </w:rPr>
        <w:t>organizations</w:t>
      </w:r>
      <w:r w:rsidRPr="000D1E37">
        <w:rPr>
          <w:rFonts w:eastAsia="Times New Roman" w:cs="Times New Roman"/>
          <w:szCs w:val="24"/>
        </w:rPr>
        <w:t xml:space="preserve"> has enhanced focus on operations, but workforce reduction and a </w:t>
      </w:r>
      <w:r w:rsidRPr="000D1E37">
        <w:rPr>
          <w:rFonts w:eastAsia="Times New Roman" w:cs="Times New Roman"/>
          <w:szCs w:val="24"/>
        </w:rPr>
        <w:lastRenderedPageBreak/>
        <w:t>risk-averse culture remain limiting innovation (Bloomberg, 2024). Comprehensively, the leadership style employed by BP is a reactive balancing act between competing priorities as opposed to the coherent, integrated transformation strategy.</w:t>
      </w:r>
    </w:p>
    <w:p w:rsidR="00DF3B7C" w:rsidRPr="000D1E37" w:rsidRDefault="00DF3B7C" w:rsidP="00DF3B7C">
      <w:pPr>
        <w:spacing w:after="0" w:line="480" w:lineRule="auto"/>
        <w:ind w:firstLine="720"/>
        <w:rPr>
          <w:rFonts w:eastAsia="Times New Roman" w:cs="Times New Roman"/>
          <w:szCs w:val="24"/>
        </w:rPr>
      </w:pPr>
    </w:p>
    <w:p w:rsidR="009177B4" w:rsidRPr="009177B4" w:rsidRDefault="00665C21" w:rsidP="00DF3B7C">
      <w:pPr>
        <w:spacing w:after="0" w:line="480" w:lineRule="auto"/>
        <w:outlineLvl w:val="2"/>
        <w:rPr>
          <w:rFonts w:eastAsia="Times New Roman" w:cs="Times New Roman"/>
          <w:b/>
          <w:bCs/>
          <w:i/>
          <w:szCs w:val="24"/>
        </w:rPr>
      </w:pPr>
      <w:r w:rsidRPr="00DF3B7C">
        <w:rPr>
          <w:rFonts w:eastAsia="Times New Roman" w:cs="Times New Roman"/>
          <w:b/>
          <w:bCs/>
          <w:i/>
          <w:szCs w:val="24"/>
        </w:rPr>
        <w:t>Performance Measurement: Balanced Scorecard</w:t>
      </w:r>
    </w:p>
    <w:p w:rsidR="003A5619" w:rsidRPr="00DF3B7C" w:rsidRDefault="003A5619" w:rsidP="00DF3B7C">
      <w:pPr>
        <w:spacing w:after="0" w:line="480" w:lineRule="auto"/>
        <w:ind w:firstLine="720"/>
        <w:rPr>
          <w:rFonts w:eastAsia="Times New Roman" w:cs="Times New Roman"/>
          <w:szCs w:val="24"/>
        </w:rPr>
      </w:pPr>
      <w:r w:rsidRPr="003A5619">
        <w:rPr>
          <w:rFonts w:eastAsia="Times New Roman" w:cs="Times New Roman"/>
          <w:szCs w:val="24"/>
        </w:rPr>
        <w:t>The Balanced Scorecard maps the strategic goals of BP into measurable indicators of performance through four perspectives that enable a view of performance beyond financial measurement necessary to evaluate change on a holistic s</w:t>
      </w:r>
      <w:r w:rsidRPr="00DF3B7C">
        <w:rPr>
          <w:rFonts w:eastAsia="Times New Roman" w:cs="Times New Roman"/>
          <w:szCs w:val="24"/>
        </w:rPr>
        <w:t>cale</w:t>
      </w:r>
      <w:r w:rsidR="000D1E37" w:rsidRPr="00DF3B7C">
        <w:rPr>
          <w:rFonts w:eastAsia="Times New Roman" w:cs="Times New Roman"/>
          <w:szCs w:val="24"/>
        </w:rPr>
        <w:t xml:space="preserve"> </w:t>
      </w:r>
      <w:r w:rsidR="000D1E37" w:rsidRPr="00DF3B7C">
        <w:rPr>
          <w:rFonts w:cs="Times New Roman"/>
          <w:szCs w:val="24"/>
        </w:rPr>
        <w:t>(Kaplan and Norton, 1996)</w:t>
      </w:r>
      <w:r w:rsidRPr="00DF3B7C">
        <w:rPr>
          <w:rFonts w:eastAsia="Times New Roman" w:cs="Times New Roman"/>
          <w:szCs w:val="24"/>
        </w:rPr>
        <w:t>.</w:t>
      </w:r>
    </w:p>
    <w:p w:rsidR="003A5619" w:rsidRPr="00DF3B7C" w:rsidRDefault="003A5619" w:rsidP="00DF3B7C">
      <w:pPr>
        <w:spacing w:after="0" w:line="480" w:lineRule="auto"/>
        <w:rPr>
          <w:rFonts w:eastAsia="Times New Roman" w:cs="Times New Roman"/>
          <w:i/>
          <w:szCs w:val="24"/>
        </w:rPr>
      </w:pPr>
      <w:r w:rsidRPr="00DF3B7C">
        <w:rPr>
          <w:rFonts w:eastAsia="Times New Roman" w:cs="Times New Roman"/>
          <w:i/>
          <w:szCs w:val="24"/>
        </w:rPr>
        <w:t>Financial Perspective</w:t>
      </w:r>
    </w:p>
    <w:p w:rsidR="003A5619" w:rsidRPr="00DF3B7C" w:rsidRDefault="003A5619" w:rsidP="00DF3B7C">
      <w:pPr>
        <w:spacing w:after="0" w:line="480" w:lineRule="auto"/>
        <w:rPr>
          <w:rFonts w:eastAsia="Times New Roman" w:cs="Times New Roman"/>
          <w:szCs w:val="24"/>
        </w:rPr>
      </w:pPr>
      <w:r w:rsidRPr="003A5619">
        <w:rPr>
          <w:rFonts w:eastAsia="Times New Roman" w:cs="Times New Roman"/>
          <w:szCs w:val="24"/>
        </w:rPr>
        <w:t>The current performance is strong with a 9.2% EBITDA margin and a 14.3% ROCE in 2023, above the 12% corporate hurdle rate of BP (BP, 2024). The 2025-2027 targets contribute to continuing ROCE at or above 12 percent, and generating annual and free cash flows of between $8-10 billion, and delivering 3-5 percent revenue growth by product mix shift to higher-margin convenience and EV charging revenues. Some of the initiatives, such as optimization of refinery throughput and programs of cost reductions of up to 500 millio</w:t>
      </w:r>
      <w:r w:rsidRPr="00DF3B7C">
        <w:rPr>
          <w:rFonts w:eastAsia="Times New Roman" w:cs="Times New Roman"/>
          <w:szCs w:val="24"/>
        </w:rPr>
        <w:t>n dollars, are key initiatives.</w:t>
      </w:r>
    </w:p>
    <w:p w:rsidR="00665C21" w:rsidRPr="00DF3B7C" w:rsidRDefault="00665C21" w:rsidP="00DF3B7C">
      <w:pPr>
        <w:spacing w:after="0" w:line="480" w:lineRule="auto"/>
        <w:rPr>
          <w:rFonts w:eastAsia="Times New Roman" w:cs="Times New Roman"/>
          <w:i/>
          <w:szCs w:val="24"/>
        </w:rPr>
      </w:pPr>
      <w:r w:rsidRPr="00DF3B7C">
        <w:rPr>
          <w:rFonts w:eastAsia="Times New Roman" w:cs="Times New Roman"/>
          <w:i/>
          <w:szCs w:val="24"/>
        </w:rPr>
        <w:t>Customer Perspective</w:t>
      </w:r>
    </w:p>
    <w:p w:rsidR="000D1E37" w:rsidRPr="00DF3B7C" w:rsidRDefault="003A5619" w:rsidP="00DF3B7C">
      <w:pPr>
        <w:spacing w:after="0" w:line="480" w:lineRule="auto"/>
        <w:ind w:firstLine="720"/>
        <w:rPr>
          <w:rFonts w:eastAsia="Times New Roman" w:cs="Times New Roman"/>
          <w:szCs w:val="24"/>
        </w:rPr>
      </w:pPr>
      <w:r w:rsidRPr="003A5619">
        <w:rPr>
          <w:rFonts w:eastAsia="Times New Roman" w:cs="Times New Roman"/>
          <w:szCs w:val="24"/>
        </w:rPr>
        <w:t xml:space="preserve">BP reports an NPS of 38, expanding towards the target of 40, with approximately 10 million </w:t>
      </w:r>
      <w:proofErr w:type="spellStart"/>
      <w:r w:rsidRPr="003A5619">
        <w:rPr>
          <w:rFonts w:eastAsia="Times New Roman" w:cs="Times New Roman"/>
          <w:szCs w:val="24"/>
        </w:rPr>
        <w:t>BPme</w:t>
      </w:r>
      <w:proofErr w:type="spellEnd"/>
      <w:r w:rsidRPr="003A5619">
        <w:rPr>
          <w:rFonts w:eastAsia="Times New Roman" w:cs="Times New Roman"/>
          <w:szCs w:val="24"/>
        </w:rPr>
        <w:t xml:space="preserve"> app users and BP Pulse charging sessions increasing 60% per year (BP, 2024). Goals are 15 million active users of </w:t>
      </w:r>
      <w:proofErr w:type="spellStart"/>
      <w:r w:rsidRPr="003A5619">
        <w:rPr>
          <w:rFonts w:eastAsia="Times New Roman" w:cs="Times New Roman"/>
          <w:szCs w:val="24"/>
        </w:rPr>
        <w:t>BPme</w:t>
      </w:r>
      <w:proofErr w:type="spellEnd"/>
      <w:r w:rsidRPr="003A5619">
        <w:rPr>
          <w:rFonts w:eastAsia="Times New Roman" w:cs="Times New Roman"/>
          <w:szCs w:val="24"/>
        </w:rPr>
        <w:t xml:space="preserve">, </w:t>
      </w:r>
      <w:r w:rsidR="000D1E37" w:rsidRPr="00DF3B7C">
        <w:rPr>
          <w:rFonts w:eastAsia="Times New Roman" w:cs="Times New Roman"/>
          <w:szCs w:val="24"/>
        </w:rPr>
        <w:t>50% growth in the number of charging sessions each year, and maintaining the market share of retail fuel in core European markets. These metrics indicate an improvement in the digital interactions with customers, but an inadequate tempo of migration to low-carbon products.</w:t>
      </w:r>
    </w:p>
    <w:p w:rsidR="000D1E37" w:rsidRPr="00DF3B7C" w:rsidRDefault="00665C21" w:rsidP="00DF3B7C">
      <w:pPr>
        <w:spacing w:after="0" w:line="480" w:lineRule="auto"/>
        <w:rPr>
          <w:rFonts w:eastAsia="Times New Roman" w:cs="Times New Roman"/>
          <w:i/>
          <w:szCs w:val="24"/>
        </w:rPr>
      </w:pPr>
      <w:r w:rsidRPr="00DF3B7C">
        <w:rPr>
          <w:rFonts w:eastAsia="Times New Roman" w:cs="Times New Roman"/>
          <w:i/>
          <w:szCs w:val="24"/>
        </w:rPr>
        <w:t>Internal Process Perspective</w:t>
      </w:r>
    </w:p>
    <w:p w:rsidR="000D1E37" w:rsidRPr="00DF3B7C" w:rsidRDefault="000D1E37" w:rsidP="00DF3B7C">
      <w:pPr>
        <w:spacing w:after="0" w:line="480" w:lineRule="auto"/>
        <w:ind w:firstLine="720"/>
        <w:rPr>
          <w:rFonts w:eastAsia="Times New Roman" w:cs="Times New Roman"/>
          <w:i/>
          <w:szCs w:val="24"/>
        </w:rPr>
      </w:pPr>
      <w:r w:rsidRPr="00DF3B7C">
        <w:rPr>
          <w:rFonts w:eastAsia="Times New Roman" w:cs="Times New Roman"/>
          <w:szCs w:val="24"/>
        </w:rPr>
        <w:lastRenderedPageBreak/>
        <w:t>Unutilized refinery capacity were 91% against a 90% target, safety performance was 0.19 TRIR, which fell short of the 0.15 target; and digital penetration of transactions reached 48% against a 60% target (BP, 2024). These indicators reflect the operational excellence of traditional processes but point to the capability gaps of digital and low-carbon processes that need to be filled.</w:t>
      </w:r>
    </w:p>
    <w:p w:rsidR="00665C21" w:rsidRPr="00DF3B7C" w:rsidRDefault="003A5619" w:rsidP="00DF3B7C">
      <w:pPr>
        <w:spacing w:after="0" w:line="480" w:lineRule="auto"/>
        <w:rPr>
          <w:rFonts w:eastAsia="Times New Roman" w:cs="Times New Roman"/>
          <w:i/>
          <w:szCs w:val="24"/>
        </w:rPr>
      </w:pPr>
      <w:r w:rsidRPr="003A5619">
        <w:rPr>
          <w:rFonts w:eastAsia="Times New Roman" w:cs="Times New Roman"/>
          <w:i/>
          <w:szCs w:val="24"/>
        </w:rPr>
        <w:t>L</w:t>
      </w:r>
      <w:r w:rsidR="00665C21" w:rsidRPr="00DF3B7C">
        <w:rPr>
          <w:rFonts w:eastAsia="Times New Roman" w:cs="Times New Roman"/>
          <w:i/>
          <w:szCs w:val="24"/>
        </w:rPr>
        <w:t>earning and Growth Perspective</w:t>
      </w:r>
    </w:p>
    <w:p w:rsidR="00DF3B7C" w:rsidRDefault="003A5619" w:rsidP="00DF3B7C">
      <w:pPr>
        <w:spacing w:after="0" w:line="480" w:lineRule="auto"/>
        <w:ind w:firstLine="720"/>
        <w:rPr>
          <w:rFonts w:eastAsia="Times New Roman" w:cs="Times New Roman"/>
          <w:szCs w:val="24"/>
        </w:rPr>
      </w:pPr>
      <w:r w:rsidRPr="003A5619">
        <w:rPr>
          <w:rFonts w:eastAsia="Times New Roman" w:cs="Times New Roman"/>
          <w:szCs w:val="24"/>
        </w:rPr>
        <w:t>BP provided 32 average training hours per employee versus a target of 40 hours, with employee engagement at 68% compared to a target of 70% (BP, 2024). These gaps are most strategically important since the workforce capability and organizational culture form a foundation upon which all other transformations rely. Inadequate performance in this respect limits advancement in all other perspectives of the scorecard.</w:t>
      </w:r>
    </w:p>
    <w:p w:rsidR="009177B4" w:rsidRPr="009177B4" w:rsidRDefault="003A5619" w:rsidP="00DF3B7C">
      <w:pPr>
        <w:spacing w:after="0" w:line="480" w:lineRule="auto"/>
        <w:ind w:firstLine="720"/>
        <w:rPr>
          <w:rFonts w:eastAsia="Times New Roman" w:cs="Times New Roman"/>
          <w:b/>
          <w:bCs/>
          <w:i/>
          <w:szCs w:val="24"/>
        </w:rPr>
      </w:pPr>
      <w:r w:rsidRPr="003A5619">
        <w:rPr>
          <w:rFonts w:eastAsia="Times New Roman" w:cs="Times New Roman"/>
          <w:szCs w:val="24"/>
        </w:rPr>
        <w:br/>
      </w:r>
      <w:r w:rsidRPr="00DF3B7C">
        <w:rPr>
          <w:rFonts w:eastAsia="Times New Roman" w:cs="Times New Roman"/>
          <w:b/>
          <w:bCs/>
          <w:i/>
          <w:szCs w:val="24"/>
        </w:rPr>
        <w:t>Conclusions and Recommendations</w:t>
      </w:r>
    </w:p>
    <w:p w:rsidR="003A5619" w:rsidRPr="00DF3B7C" w:rsidRDefault="003A5619" w:rsidP="00DF3B7C">
      <w:pPr>
        <w:spacing w:after="0" w:line="480" w:lineRule="auto"/>
        <w:ind w:firstLine="720"/>
        <w:rPr>
          <w:rFonts w:eastAsia="Times New Roman" w:cs="Times New Roman"/>
          <w:szCs w:val="24"/>
        </w:rPr>
      </w:pPr>
      <w:r w:rsidRPr="003A5619">
        <w:rPr>
          <w:rFonts w:eastAsia="Times New Roman" w:cs="Times New Roman"/>
          <w:szCs w:val="24"/>
        </w:rPr>
        <w:t xml:space="preserve">The Customers and Products segment of BP still maintains the assets, financial resources, and access to the market needed to negotiate the energy transition, but the current strategy is merely moderately robust. The above discussion indicates a business that produces high short-term financial results and long-term strategic weaknesses. The BCG Matrix confirms that the portfolio has a skewness towards declining cash cows, with the growth engine BP Pulse and convenience retail still in the process of development and not established. Sustainability promises are not operations but ambitions; the speed of innovation is lower than specialist competition, and </w:t>
      </w:r>
      <w:r w:rsidRPr="00DF3B7C">
        <w:rPr>
          <w:rFonts w:eastAsia="Times New Roman" w:cs="Times New Roman"/>
          <w:szCs w:val="24"/>
        </w:rPr>
        <w:t>organizational</w:t>
      </w:r>
      <w:r w:rsidRPr="003A5619">
        <w:rPr>
          <w:rFonts w:eastAsia="Times New Roman" w:cs="Times New Roman"/>
          <w:szCs w:val="24"/>
        </w:rPr>
        <w:t xml:space="preserve"> leadership is inconsistent between Looney and </w:t>
      </w:r>
      <w:proofErr w:type="spellStart"/>
      <w:r w:rsidRPr="003A5619">
        <w:rPr>
          <w:rFonts w:eastAsia="Times New Roman" w:cs="Times New Roman"/>
          <w:szCs w:val="24"/>
        </w:rPr>
        <w:t>Auchincloss</w:t>
      </w:r>
      <w:proofErr w:type="spellEnd"/>
      <w:r w:rsidRPr="003A5619">
        <w:rPr>
          <w:rFonts w:eastAsia="Times New Roman" w:cs="Times New Roman"/>
          <w:szCs w:val="24"/>
        </w:rPr>
        <w:t xml:space="preserve">, which has weakened </w:t>
      </w:r>
      <w:r w:rsidRPr="00DF3B7C">
        <w:rPr>
          <w:rFonts w:eastAsia="Times New Roman" w:cs="Times New Roman"/>
          <w:szCs w:val="24"/>
        </w:rPr>
        <w:t>organizational</w:t>
      </w:r>
      <w:r w:rsidRPr="003A5619">
        <w:rPr>
          <w:rFonts w:eastAsia="Times New Roman" w:cs="Times New Roman"/>
          <w:szCs w:val="24"/>
        </w:rPr>
        <w:t xml:space="preserve"> momentum at a time when consistency was most ess</w:t>
      </w:r>
      <w:r w:rsidRPr="00DF3B7C">
        <w:rPr>
          <w:rFonts w:eastAsia="Times New Roman" w:cs="Times New Roman"/>
          <w:szCs w:val="24"/>
        </w:rPr>
        <w:t>ential.</w:t>
      </w:r>
    </w:p>
    <w:p w:rsidR="00705124" w:rsidRPr="00705124" w:rsidRDefault="003A5619" w:rsidP="00DF3B7C">
      <w:pPr>
        <w:spacing w:after="0" w:line="480" w:lineRule="auto"/>
        <w:ind w:firstLine="720"/>
        <w:rPr>
          <w:rFonts w:eastAsia="Times New Roman" w:cs="Times New Roman"/>
          <w:szCs w:val="24"/>
        </w:rPr>
      </w:pPr>
      <w:r w:rsidRPr="003A5619">
        <w:rPr>
          <w:rFonts w:eastAsia="Times New Roman" w:cs="Times New Roman"/>
          <w:szCs w:val="24"/>
        </w:rPr>
        <w:lastRenderedPageBreak/>
        <w:t>Based on this, the following recommendations are presented to the C-suite. Aggressive investment needs to be directed towards the BP Pulse and convenience retail, with a target of 100,000 charge points by 2030, as well as expansion to 1,000+ premium convenience locations leveraging pre-existing retail infrastructure before network effects entr</w:t>
      </w:r>
      <w:r w:rsidRPr="00DF3B7C">
        <w:rPr>
          <w:rFonts w:eastAsia="Times New Roman" w:cs="Times New Roman"/>
          <w:szCs w:val="24"/>
        </w:rPr>
        <w:t>ench specialist competitors</w:t>
      </w:r>
      <w:r w:rsidRPr="003A5619">
        <w:rPr>
          <w:rFonts w:eastAsia="Times New Roman" w:cs="Times New Roman"/>
          <w:szCs w:val="24"/>
        </w:rPr>
        <w:t xml:space="preserve">. Conventional retail fuels and Castrol must be held and harvested and provided with maintenance capital only whilst they continue to </w:t>
      </w:r>
      <w:r w:rsidRPr="00DF3B7C">
        <w:rPr>
          <w:rFonts w:eastAsia="Times New Roman" w:cs="Times New Roman"/>
          <w:szCs w:val="24"/>
        </w:rPr>
        <w:t>maximize</w:t>
      </w:r>
      <w:r w:rsidRPr="003A5619">
        <w:rPr>
          <w:rFonts w:eastAsia="Times New Roman" w:cs="Times New Roman"/>
          <w:szCs w:val="24"/>
        </w:rPr>
        <w:t xml:space="preserve"> cash gen</w:t>
      </w:r>
      <w:r w:rsidRPr="00DF3B7C">
        <w:rPr>
          <w:rFonts w:eastAsia="Times New Roman" w:cs="Times New Roman"/>
          <w:szCs w:val="24"/>
        </w:rPr>
        <w:t>eration to fund transformation</w:t>
      </w:r>
      <w:r w:rsidRPr="003A5619">
        <w:rPr>
          <w:rFonts w:eastAsia="Times New Roman" w:cs="Times New Roman"/>
          <w:szCs w:val="24"/>
        </w:rPr>
        <w:t>. Nonperforming refining assets need to be divested, with a 20-30% reduction of capacity by 2027 planned, and an estimated 2-3 billion of capacity redep</w:t>
      </w:r>
      <w:r w:rsidRPr="00DF3B7C">
        <w:rPr>
          <w:rFonts w:eastAsia="Times New Roman" w:cs="Times New Roman"/>
          <w:szCs w:val="24"/>
        </w:rPr>
        <w:t>loyed toward growth priorities</w:t>
      </w:r>
      <w:r w:rsidRPr="003A5619">
        <w:rPr>
          <w:rFonts w:eastAsia="Times New Roman" w:cs="Times New Roman"/>
          <w:szCs w:val="24"/>
        </w:rPr>
        <w:t>. BP also needs to attain short-term strategic clarity about biofuels, either by committing to scale competitiveness or by abandoning it with an intermediate position consuming resources rather than adding value. The transformation window is open and is narrowing; the strategic direction of BP is good, but execution commitment is the key uncertainty.</w:t>
      </w:r>
    </w:p>
    <w:p w:rsidR="003A5619" w:rsidRPr="00DF3B7C" w:rsidRDefault="003A5619" w:rsidP="00DF3B7C">
      <w:pPr>
        <w:spacing w:after="0" w:line="480" w:lineRule="auto"/>
        <w:rPr>
          <w:rFonts w:eastAsia="Times New Roman" w:cs="Times New Roman"/>
          <w:b/>
          <w:bCs/>
          <w:szCs w:val="24"/>
        </w:rPr>
      </w:pPr>
      <w:r w:rsidRPr="00DF3B7C">
        <w:rPr>
          <w:rFonts w:eastAsia="Times New Roman" w:cs="Times New Roman"/>
          <w:b/>
          <w:bCs/>
          <w:szCs w:val="24"/>
        </w:rPr>
        <w:br w:type="page"/>
      </w:r>
    </w:p>
    <w:bookmarkEnd w:id="0"/>
    <w:p w:rsidR="003A5619" w:rsidRPr="00DF3B7C" w:rsidRDefault="003A5619" w:rsidP="00DF3B7C">
      <w:pPr>
        <w:keepNext/>
        <w:keepLines/>
        <w:spacing w:after="0" w:line="480" w:lineRule="auto"/>
        <w:contextualSpacing/>
        <w:outlineLvl w:val="0"/>
        <w:rPr>
          <w:rFonts w:eastAsia="Times New Roman" w:cs="Times New Roman"/>
          <w:b/>
          <w:i/>
          <w:color w:val="000000"/>
          <w:szCs w:val="24"/>
        </w:rPr>
      </w:pPr>
      <w:r w:rsidRPr="003A5619">
        <w:rPr>
          <w:rFonts w:eastAsia="Times New Roman" w:cs="Times New Roman"/>
          <w:b/>
          <w:i/>
          <w:color w:val="000000"/>
          <w:szCs w:val="24"/>
        </w:rPr>
        <w:lastRenderedPageBreak/>
        <w:t xml:space="preserve">Bibliography </w:t>
      </w:r>
    </w:p>
    <w:p w:rsidR="00DF3B7C" w:rsidRPr="00DF3B7C" w:rsidRDefault="00DF3B7C" w:rsidP="00DF3B7C">
      <w:pPr>
        <w:pStyle w:val="Bibliography"/>
        <w:spacing w:after="0" w:line="480" w:lineRule="auto"/>
        <w:rPr>
          <w:rFonts w:cs="Times New Roman"/>
          <w:szCs w:val="24"/>
        </w:rPr>
      </w:pPr>
      <w:r w:rsidRPr="00DF3B7C">
        <w:rPr>
          <w:rFonts w:cs="Times New Roman"/>
          <w:szCs w:val="24"/>
        </w:rPr>
        <w:t xml:space="preserve">BP (2024a) </w:t>
      </w:r>
      <w:r w:rsidRPr="00DF3B7C">
        <w:rPr>
          <w:rFonts w:cs="Times New Roman"/>
          <w:i/>
          <w:iCs/>
          <w:szCs w:val="24"/>
        </w:rPr>
        <w:t>Annual Report and Form 20-F 2023. London</w:t>
      </w:r>
      <w:r w:rsidRPr="00DF3B7C">
        <w:rPr>
          <w:rFonts w:cs="Times New Roman"/>
          <w:szCs w:val="24"/>
        </w:rPr>
        <w:t>. Available at: https://www.bp.com/content/dam/bp/business-sites/en/global/corporate/pdfs/investors/bp-annual-report-and-form-20f-2023.pdf.</w:t>
      </w:r>
    </w:p>
    <w:p w:rsidR="00DF3B7C" w:rsidRPr="00DF3B7C" w:rsidRDefault="00DF3B7C" w:rsidP="00DF3B7C">
      <w:pPr>
        <w:pStyle w:val="Bibliography"/>
        <w:spacing w:after="0" w:line="480" w:lineRule="auto"/>
        <w:rPr>
          <w:rFonts w:cs="Times New Roman"/>
          <w:szCs w:val="24"/>
        </w:rPr>
      </w:pPr>
      <w:r w:rsidRPr="00DF3B7C">
        <w:rPr>
          <w:rFonts w:cs="Times New Roman"/>
          <w:szCs w:val="24"/>
        </w:rPr>
        <w:t xml:space="preserve">BP (2024b) </w:t>
      </w:r>
      <w:r w:rsidRPr="00DF3B7C">
        <w:rPr>
          <w:rFonts w:cs="Times New Roman"/>
          <w:i/>
          <w:iCs/>
          <w:szCs w:val="24"/>
        </w:rPr>
        <w:t>Fourth Quarter and Full Year 2023 Results. Form 6-K filed with the SEC</w:t>
      </w:r>
      <w:r w:rsidRPr="00DF3B7C">
        <w:rPr>
          <w:rFonts w:cs="Times New Roman"/>
          <w:szCs w:val="24"/>
        </w:rPr>
        <w:t>. Available at: https://www.sec.gov/Archives/edgar/data/313807/000031380724000003/a31122023bp6kq4.htm (Accessed: May 4, 2026).</w:t>
      </w:r>
    </w:p>
    <w:p w:rsidR="00705124" w:rsidRPr="00705124" w:rsidRDefault="00705124" w:rsidP="00DF3B7C">
      <w:pPr>
        <w:keepNext/>
        <w:keepLines/>
        <w:spacing w:after="0" w:line="480" w:lineRule="auto"/>
        <w:contextualSpacing/>
        <w:outlineLvl w:val="0"/>
        <w:rPr>
          <w:rFonts w:eastAsia="Times New Roman" w:cs="Times New Roman"/>
          <w:b/>
          <w:i/>
          <w:color w:val="000000"/>
          <w:szCs w:val="24"/>
        </w:rPr>
      </w:pPr>
      <w:r w:rsidRPr="00705124">
        <w:rPr>
          <w:rFonts w:eastAsia="Times New Roman" w:cs="Times New Roman"/>
          <w:szCs w:val="24"/>
        </w:rPr>
        <w:t xml:space="preserve">BP (2020) </w:t>
      </w:r>
      <w:r w:rsidRPr="00DF3B7C">
        <w:rPr>
          <w:rFonts w:eastAsia="Times New Roman" w:cs="Times New Roman"/>
          <w:i/>
          <w:iCs/>
          <w:szCs w:val="24"/>
        </w:rPr>
        <w:t>From International Oil Company to Integrated Energy Company: BP sets out strategy to 2030</w:t>
      </w:r>
      <w:r w:rsidRPr="00705124">
        <w:rPr>
          <w:rFonts w:eastAsia="Times New Roman" w:cs="Times New Roman"/>
          <w:szCs w:val="24"/>
        </w:rPr>
        <w:t xml:space="preserve">. Available at: </w:t>
      </w:r>
      <w:hyperlink r:id="rId7" w:history="1">
        <w:r w:rsidRPr="00DF3B7C">
          <w:rPr>
            <w:rFonts w:eastAsia="Times New Roman" w:cs="Times New Roman"/>
            <w:color w:val="0000FF"/>
            <w:szCs w:val="24"/>
            <w:u w:val="single"/>
          </w:rPr>
          <w:t>https://www.bp.com/en/global/corporate/news-and-insights/press-releases/bernard-looney-announces-new-ambition-for-bp.html</w:t>
        </w:r>
      </w:hyperlink>
      <w:r w:rsidRPr="00705124">
        <w:rPr>
          <w:rFonts w:eastAsia="Times New Roman" w:cs="Times New Roman"/>
          <w:szCs w:val="24"/>
        </w:rPr>
        <w:t xml:space="preserve"> (Accessed: 28 April 2025).</w:t>
      </w:r>
    </w:p>
    <w:p w:rsidR="00705124" w:rsidRPr="00705124" w:rsidRDefault="00705124" w:rsidP="00DF3B7C">
      <w:pPr>
        <w:spacing w:after="0" w:line="480" w:lineRule="auto"/>
        <w:rPr>
          <w:rFonts w:eastAsia="Times New Roman" w:cs="Times New Roman"/>
          <w:szCs w:val="24"/>
        </w:rPr>
      </w:pPr>
      <w:r w:rsidRPr="00705124">
        <w:rPr>
          <w:rFonts w:eastAsia="Times New Roman" w:cs="Times New Roman"/>
          <w:szCs w:val="24"/>
        </w:rPr>
        <w:t xml:space="preserve">BP (2024) </w:t>
      </w:r>
      <w:r w:rsidRPr="00DF3B7C">
        <w:rPr>
          <w:rFonts w:eastAsia="Times New Roman" w:cs="Times New Roman"/>
          <w:i/>
          <w:iCs/>
          <w:szCs w:val="24"/>
        </w:rPr>
        <w:t>Sustainability Report 2024: Aims and Progress</w:t>
      </w:r>
      <w:r w:rsidRPr="00705124">
        <w:rPr>
          <w:rFonts w:eastAsia="Times New Roman" w:cs="Times New Roman"/>
          <w:szCs w:val="24"/>
        </w:rPr>
        <w:t xml:space="preserve">. London: BP </w:t>
      </w:r>
      <w:proofErr w:type="spellStart"/>
      <w:r w:rsidRPr="00705124">
        <w:rPr>
          <w:rFonts w:eastAsia="Times New Roman" w:cs="Times New Roman"/>
          <w:szCs w:val="24"/>
        </w:rPr>
        <w:t>p.l.c</w:t>
      </w:r>
      <w:proofErr w:type="spellEnd"/>
      <w:r w:rsidRPr="00705124">
        <w:rPr>
          <w:rFonts w:eastAsia="Times New Roman" w:cs="Times New Roman"/>
          <w:szCs w:val="24"/>
        </w:rPr>
        <w:t xml:space="preserve">. Available at: </w:t>
      </w:r>
      <w:hyperlink r:id="rId8" w:history="1">
        <w:r w:rsidRPr="00DF3B7C">
          <w:rPr>
            <w:rFonts w:eastAsia="Times New Roman" w:cs="Times New Roman"/>
            <w:color w:val="0000FF"/>
            <w:szCs w:val="24"/>
            <w:u w:val="single"/>
          </w:rPr>
          <w:t>https://www.bp.com/en/global/corporate/sustainability/aims-and-progress.html</w:t>
        </w:r>
      </w:hyperlink>
      <w:r w:rsidRPr="00705124">
        <w:rPr>
          <w:rFonts w:eastAsia="Times New Roman" w:cs="Times New Roman"/>
          <w:szCs w:val="24"/>
        </w:rPr>
        <w:t xml:space="preserve"> (Accessed: 28 April 2025).</w:t>
      </w:r>
    </w:p>
    <w:p w:rsidR="00705124" w:rsidRPr="00705124" w:rsidRDefault="00705124" w:rsidP="00DF3B7C">
      <w:pPr>
        <w:spacing w:after="0" w:line="480" w:lineRule="auto"/>
        <w:rPr>
          <w:rFonts w:eastAsia="Times New Roman" w:cs="Times New Roman"/>
          <w:szCs w:val="24"/>
        </w:rPr>
      </w:pPr>
      <w:r w:rsidRPr="00705124">
        <w:rPr>
          <w:rFonts w:eastAsia="Times New Roman" w:cs="Times New Roman"/>
          <w:szCs w:val="24"/>
        </w:rPr>
        <w:t xml:space="preserve">Bloomberg (2024) 'BP scales back energy transition targets amid investor pressure', </w:t>
      </w:r>
      <w:r w:rsidRPr="00DF3B7C">
        <w:rPr>
          <w:rFonts w:eastAsia="Times New Roman" w:cs="Times New Roman"/>
          <w:i/>
          <w:iCs/>
          <w:szCs w:val="24"/>
        </w:rPr>
        <w:t>Bloomberg News</w:t>
      </w:r>
      <w:r w:rsidRPr="00705124">
        <w:rPr>
          <w:rFonts w:eastAsia="Times New Roman" w:cs="Times New Roman"/>
          <w:szCs w:val="24"/>
        </w:rPr>
        <w:t xml:space="preserve">, 14 February. Available at: </w:t>
      </w:r>
      <w:hyperlink r:id="rId9" w:history="1">
        <w:r w:rsidRPr="00DF3B7C">
          <w:rPr>
            <w:rFonts w:eastAsia="Times New Roman" w:cs="Times New Roman"/>
            <w:color w:val="0000FF"/>
            <w:szCs w:val="24"/>
            <w:u w:val="single"/>
          </w:rPr>
          <w:t>https://www.bloomberg.com/news/articles/2024-02-14/bp-scales-back-renewables-targets</w:t>
        </w:r>
      </w:hyperlink>
      <w:r w:rsidRPr="00705124">
        <w:rPr>
          <w:rFonts w:eastAsia="Times New Roman" w:cs="Times New Roman"/>
          <w:szCs w:val="24"/>
        </w:rPr>
        <w:t xml:space="preserve"> (Accessed: 29 April 2025).</w:t>
      </w:r>
    </w:p>
    <w:p w:rsidR="00705124" w:rsidRPr="00705124" w:rsidRDefault="00705124" w:rsidP="00DF3B7C">
      <w:pPr>
        <w:spacing w:after="0" w:line="480" w:lineRule="auto"/>
        <w:rPr>
          <w:rFonts w:eastAsia="Times New Roman" w:cs="Times New Roman"/>
          <w:szCs w:val="24"/>
        </w:rPr>
      </w:pPr>
      <w:r w:rsidRPr="00705124">
        <w:rPr>
          <w:rFonts w:eastAsia="Times New Roman" w:cs="Times New Roman"/>
          <w:szCs w:val="24"/>
        </w:rPr>
        <w:t xml:space="preserve">Deloitte (2023) </w:t>
      </w:r>
      <w:r w:rsidRPr="00DF3B7C">
        <w:rPr>
          <w:rFonts w:eastAsia="Times New Roman" w:cs="Times New Roman"/>
          <w:i/>
          <w:iCs/>
          <w:szCs w:val="24"/>
        </w:rPr>
        <w:t>2023 Oil and Gas Industry Outlook: Balancing transition with traditional operations</w:t>
      </w:r>
      <w:r w:rsidRPr="00705124">
        <w:rPr>
          <w:rFonts w:eastAsia="Times New Roman" w:cs="Times New Roman"/>
          <w:szCs w:val="24"/>
        </w:rPr>
        <w:t xml:space="preserve">. Deloitte Insights. Available at: </w:t>
      </w:r>
      <w:hyperlink r:id="rId10" w:history="1">
        <w:r w:rsidRPr="00DF3B7C">
          <w:rPr>
            <w:rFonts w:eastAsia="Times New Roman" w:cs="Times New Roman"/>
            <w:color w:val="0000FF"/>
            <w:szCs w:val="24"/>
            <w:u w:val="single"/>
          </w:rPr>
          <w:t>https://www2.deloitte.com/us/en/insights/industry/oil-and-gas/oil-and-gas-industry-outlook.html</w:t>
        </w:r>
      </w:hyperlink>
      <w:r w:rsidRPr="00705124">
        <w:rPr>
          <w:rFonts w:eastAsia="Times New Roman" w:cs="Times New Roman"/>
          <w:szCs w:val="24"/>
        </w:rPr>
        <w:t xml:space="preserve"> (Accessed: 29 April 2025).</w:t>
      </w:r>
    </w:p>
    <w:p w:rsidR="00705124" w:rsidRPr="00705124" w:rsidRDefault="00705124" w:rsidP="00DF3B7C">
      <w:pPr>
        <w:spacing w:after="0" w:line="480" w:lineRule="auto"/>
        <w:rPr>
          <w:rFonts w:eastAsia="Times New Roman" w:cs="Times New Roman"/>
          <w:szCs w:val="24"/>
        </w:rPr>
      </w:pPr>
      <w:r w:rsidRPr="00705124">
        <w:rPr>
          <w:rFonts w:eastAsia="Times New Roman" w:cs="Times New Roman"/>
          <w:szCs w:val="24"/>
        </w:rPr>
        <w:t xml:space="preserve">Financial Times (2024) 'BP's strategic U-turn raises questions over net zero commitment', </w:t>
      </w:r>
      <w:r w:rsidRPr="00DF3B7C">
        <w:rPr>
          <w:rFonts w:eastAsia="Times New Roman" w:cs="Times New Roman"/>
          <w:i/>
          <w:iCs/>
          <w:szCs w:val="24"/>
        </w:rPr>
        <w:t>Financial Times</w:t>
      </w:r>
      <w:r w:rsidRPr="00705124">
        <w:rPr>
          <w:rFonts w:eastAsia="Times New Roman" w:cs="Times New Roman"/>
          <w:szCs w:val="24"/>
        </w:rPr>
        <w:t>, 7 February, p. 15.</w:t>
      </w:r>
    </w:p>
    <w:p w:rsidR="00705124" w:rsidRPr="00705124" w:rsidRDefault="00705124" w:rsidP="00DF3B7C">
      <w:pPr>
        <w:spacing w:after="0" w:line="480" w:lineRule="auto"/>
        <w:rPr>
          <w:rFonts w:eastAsia="Times New Roman" w:cs="Times New Roman"/>
          <w:szCs w:val="24"/>
        </w:rPr>
      </w:pPr>
      <w:r w:rsidRPr="00705124">
        <w:rPr>
          <w:rFonts w:eastAsia="Times New Roman" w:cs="Times New Roman"/>
          <w:szCs w:val="24"/>
        </w:rPr>
        <w:t xml:space="preserve">Grant, R.M. (2022) </w:t>
      </w:r>
      <w:r w:rsidRPr="00DF3B7C">
        <w:rPr>
          <w:rFonts w:eastAsia="Times New Roman" w:cs="Times New Roman"/>
          <w:i/>
          <w:iCs/>
          <w:szCs w:val="24"/>
        </w:rPr>
        <w:t>Contemporary Strategy Analysis</w:t>
      </w:r>
      <w:r w:rsidRPr="00705124">
        <w:rPr>
          <w:rFonts w:eastAsia="Times New Roman" w:cs="Times New Roman"/>
          <w:szCs w:val="24"/>
        </w:rPr>
        <w:t xml:space="preserve">. 11th </w:t>
      </w:r>
      <w:proofErr w:type="spellStart"/>
      <w:r w:rsidRPr="00705124">
        <w:rPr>
          <w:rFonts w:eastAsia="Times New Roman" w:cs="Times New Roman"/>
          <w:szCs w:val="24"/>
        </w:rPr>
        <w:t>edn</w:t>
      </w:r>
      <w:proofErr w:type="spellEnd"/>
      <w:r w:rsidRPr="00705124">
        <w:rPr>
          <w:rFonts w:eastAsia="Times New Roman" w:cs="Times New Roman"/>
          <w:szCs w:val="24"/>
        </w:rPr>
        <w:t>. Hoboken: John Wiley &amp; Sons.</w:t>
      </w:r>
    </w:p>
    <w:p w:rsidR="00705124" w:rsidRPr="00705124" w:rsidRDefault="00705124" w:rsidP="00DF3B7C">
      <w:pPr>
        <w:spacing w:after="0" w:line="480" w:lineRule="auto"/>
        <w:rPr>
          <w:rFonts w:eastAsia="Times New Roman" w:cs="Times New Roman"/>
          <w:szCs w:val="24"/>
        </w:rPr>
      </w:pPr>
      <w:r w:rsidRPr="00705124">
        <w:rPr>
          <w:rFonts w:eastAsia="Times New Roman" w:cs="Times New Roman"/>
          <w:szCs w:val="24"/>
        </w:rPr>
        <w:lastRenderedPageBreak/>
        <w:t xml:space="preserve">International Energy Agency (IEA) (2024) </w:t>
      </w:r>
      <w:r w:rsidRPr="00DF3B7C">
        <w:rPr>
          <w:rFonts w:eastAsia="Times New Roman" w:cs="Times New Roman"/>
          <w:i/>
          <w:iCs/>
          <w:szCs w:val="24"/>
        </w:rPr>
        <w:t>Global EV Outlook 2024</w:t>
      </w:r>
      <w:r w:rsidRPr="00705124">
        <w:rPr>
          <w:rFonts w:eastAsia="Times New Roman" w:cs="Times New Roman"/>
          <w:szCs w:val="24"/>
        </w:rPr>
        <w:t xml:space="preserve">. Paris: IEA Publications. Available at: </w:t>
      </w:r>
      <w:hyperlink r:id="rId11" w:history="1">
        <w:r w:rsidRPr="00DF3B7C">
          <w:rPr>
            <w:rFonts w:eastAsia="Times New Roman" w:cs="Times New Roman"/>
            <w:color w:val="0000FF"/>
            <w:szCs w:val="24"/>
            <w:u w:val="single"/>
          </w:rPr>
          <w:t>https://www.iea.org/reports/global-ev-outlook-2024</w:t>
        </w:r>
      </w:hyperlink>
      <w:r w:rsidRPr="00705124">
        <w:rPr>
          <w:rFonts w:eastAsia="Times New Roman" w:cs="Times New Roman"/>
          <w:szCs w:val="24"/>
        </w:rPr>
        <w:t xml:space="preserve"> (Accessed: 28 April 2025).</w:t>
      </w:r>
    </w:p>
    <w:p w:rsidR="00705124" w:rsidRPr="00705124" w:rsidRDefault="00705124" w:rsidP="00DF3B7C">
      <w:pPr>
        <w:spacing w:after="0" w:line="480" w:lineRule="auto"/>
        <w:rPr>
          <w:rFonts w:eastAsia="Times New Roman" w:cs="Times New Roman"/>
          <w:szCs w:val="24"/>
        </w:rPr>
      </w:pPr>
      <w:r w:rsidRPr="00705124">
        <w:rPr>
          <w:rFonts w:eastAsia="Times New Roman" w:cs="Times New Roman"/>
          <w:szCs w:val="24"/>
        </w:rPr>
        <w:t xml:space="preserve">Johnson, G., Whittington, R., Scholes, K., </w:t>
      </w:r>
      <w:proofErr w:type="spellStart"/>
      <w:r w:rsidRPr="00705124">
        <w:rPr>
          <w:rFonts w:eastAsia="Times New Roman" w:cs="Times New Roman"/>
          <w:szCs w:val="24"/>
        </w:rPr>
        <w:t>Angwin</w:t>
      </w:r>
      <w:proofErr w:type="spellEnd"/>
      <w:r w:rsidRPr="00705124">
        <w:rPr>
          <w:rFonts w:eastAsia="Times New Roman" w:cs="Times New Roman"/>
          <w:szCs w:val="24"/>
        </w:rPr>
        <w:t xml:space="preserve">, D. and </w:t>
      </w:r>
      <w:proofErr w:type="spellStart"/>
      <w:r w:rsidRPr="00705124">
        <w:rPr>
          <w:rFonts w:eastAsia="Times New Roman" w:cs="Times New Roman"/>
          <w:szCs w:val="24"/>
        </w:rPr>
        <w:t>Regnér</w:t>
      </w:r>
      <w:proofErr w:type="spellEnd"/>
      <w:r w:rsidRPr="00705124">
        <w:rPr>
          <w:rFonts w:eastAsia="Times New Roman" w:cs="Times New Roman"/>
          <w:szCs w:val="24"/>
        </w:rPr>
        <w:t xml:space="preserve">, P. (2023) </w:t>
      </w:r>
      <w:r w:rsidRPr="00DF3B7C">
        <w:rPr>
          <w:rFonts w:eastAsia="Times New Roman" w:cs="Times New Roman"/>
          <w:i/>
          <w:iCs/>
          <w:szCs w:val="24"/>
        </w:rPr>
        <w:t>Exploring Strategy: Text and Cases</w:t>
      </w:r>
      <w:r w:rsidRPr="00705124">
        <w:rPr>
          <w:rFonts w:eastAsia="Times New Roman" w:cs="Times New Roman"/>
          <w:szCs w:val="24"/>
        </w:rPr>
        <w:t xml:space="preserve">. 13th </w:t>
      </w:r>
      <w:proofErr w:type="spellStart"/>
      <w:r w:rsidRPr="00705124">
        <w:rPr>
          <w:rFonts w:eastAsia="Times New Roman" w:cs="Times New Roman"/>
          <w:szCs w:val="24"/>
        </w:rPr>
        <w:t>edn</w:t>
      </w:r>
      <w:proofErr w:type="spellEnd"/>
      <w:r w:rsidRPr="00705124">
        <w:rPr>
          <w:rFonts w:eastAsia="Times New Roman" w:cs="Times New Roman"/>
          <w:szCs w:val="24"/>
        </w:rPr>
        <w:t>. Harlow: Pearson Education Limited.</w:t>
      </w:r>
    </w:p>
    <w:p w:rsidR="00705124" w:rsidRPr="00705124" w:rsidRDefault="00705124" w:rsidP="00DF3B7C">
      <w:pPr>
        <w:spacing w:after="0" w:line="480" w:lineRule="auto"/>
        <w:rPr>
          <w:rFonts w:eastAsia="Times New Roman" w:cs="Times New Roman"/>
          <w:szCs w:val="24"/>
        </w:rPr>
      </w:pPr>
      <w:r w:rsidRPr="00705124">
        <w:rPr>
          <w:rFonts w:eastAsia="Times New Roman" w:cs="Times New Roman"/>
          <w:szCs w:val="24"/>
        </w:rPr>
        <w:t xml:space="preserve">Kaplan, R.S. and Norton, D.P. (1996) 'Using the Balanced Scorecard as a strategic management system', </w:t>
      </w:r>
      <w:r w:rsidRPr="00DF3B7C">
        <w:rPr>
          <w:rFonts w:eastAsia="Times New Roman" w:cs="Times New Roman"/>
          <w:i/>
          <w:iCs/>
          <w:szCs w:val="24"/>
        </w:rPr>
        <w:t>Harvard Business Review</w:t>
      </w:r>
      <w:r w:rsidRPr="00705124">
        <w:rPr>
          <w:rFonts w:eastAsia="Times New Roman" w:cs="Times New Roman"/>
          <w:szCs w:val="24"/>
        </w:rPr>
        <w:t>, 74(1), pp. 75-85.</w:t>
      </w:r>
    </w:p>
    <w:p w:rsidR="00705124" w:rsidRPr="00705124" w:rsidRDefault="00705124" w:rsidP="00DF3B7C">
      <w:pPr>
        <w:spacing w:after="0" w:line="480" w:lineRule="auto"/>
        <w:rPr>
          <w:rFonts w:eastAsia="Times New Roman" w:cs="Times New Roman"/>
          <w:szCs w:val="24"/>
        </w:rPr>
      </w:pPr>
      <w:r w:rsidRPr="00705124">
        <w:rPr>
          <w:rFonts w:eastAsia="Times New Roman" w:cs="Times New Roman"/>
          <w:szCs w:val="24"/>
        </w:rPr>
        <w:t xml:space="preserve">Kotter, J.P. (2012) </w:t>
      </w:r>
      <w:r w:rsidRPr="00DF3B7C">
        <w:rPr>
          <w:rFonts w:eastAsia="Times New Roman" w:cs="Times New Roman"/>
          <w:i/>
          <w:iCs/>
          <w:szCs w:val="24"/>
        </w:rPr>
        <w:t>Leading Change</w:t>
      </w:r>
      <w:r w:rsidRPr="00705124">
        <w:rPr>
          <w:rFonts w:eastAsia="Times New Roman" w:cs="Times New Roman"/>
          <w:szCs w:val="24"/>
        </w:rPr>
        <w:t>. Boston: Harvard Business Review Press.</w:t>
      </w:r>
    </w:p>
    <w:p w:rsidR="00705124" w:rsidRPr="00705124" w:rsidRDefault="00705124" w:rsidP="00DF3B7C">
      <w:pPr>
        <w:spacing w:after="0" w:line="480" w:lineRule="auto"/>
        <w:rPr>
          <w:rFonts w:eastAsia="Times New Roman" w:cs="Times New Roman"/>
          <w:szCs w:val="24"/>
        </w:rPr>
      </w:pPr>
      <w:r w:rsidRPr="00705124">
        <w:rPr>
          <w:rFonts w:eastAsia="Times New Roman" w:cs="Times New Roman"/>
          <w:szCs w:val="24"/>
        </w:rPr>
        <w:t xml:space="preserve">Porter, M.E. and Kramer, M.R. (2011) 'Creating Shared Value', </w:t>
      </w:r>
      <w:r w:rsidRPr="00DF3B7C">
        <w:rPr>
          <w:rFonts w:eastAsia="Times New Roman" w:cs="Times New Roman"/>
          <w:i/>
          <w:iCs/>
          <w:szCs w:val="24"/>
        </w:rPr>
        <w:t>Harvard Business Review</w:t>
      </w:r>
      <w:r w:rsidRPr="00705124">
        <w:rPr>
          <w:rFonts w:eastAsia="Times New Roman" w:cs="Times New Roman"/>
          <w:szCs w:val="24"/>
        </w:rPr>
        <w:t>, 89(1/2), pp. 62-77.</w:t>
      </w:r>
    </w:p>
    <w:p w:rsidR="00705124" w:rsidRPr="00705124" w:rsidRDefault="00705124" w:rsidP="00DF3B7C">
      <w:pPr>
        <w:spacing w:after="0" w:line="480" w:lineRule="auto"/>
        <w:rPr>
          <w:rFonts w:eastAsia="Times New Roman" w:cs="Times New Roman"/>
          <w:szCs w:val="24"/>
        </w:rPr>
      </w:pPr>
      <w:r w:rsidRPr="00705124">
        <w:rPr>
          <w:rFonts w:eastAsia="Times New Roman" w:cs="Times New Roman"/>
          <w:szCs w:val="24"/>
        </w:rPr>
        <w:t xml:space="preserve">Reuters (2024) 'Electric vehicle charging market competitive dynamics analysis', </w:t>
      </w:r>
      <w:r w:rsidRPr="00DF3B7C">
        <w:rPr>
          <w:rFonts w:eastAsia="Times New Roman" w:cs="Times New Roman"/>
          <w:i/>
          <w:iCs/>
          <w:szCs w:val="24"/>
        </w:rPr>
        <w:t>Reuters Market Research</w:t>
      </w:r>
      <w:r w:rsidRPr="00705124">
        <w:rPr>
          <w:rFonts w:eastAsia="Times New Roman" w:cs="Times New Roman"/>
          <w:szCs w:val="24"/>
        </w:rPr>
        <w:t xml:space="preserve">, 15 March. Available at: </w:t>
      </w:r>
      <w:hyperlink r:id="rId12" w:history="1">
        <w:r w:rsidRPr="00DF3B7C">
          <w:rPr>
            <w:rFonts w:eastAsia="Times New Roman" w:cs="Times New Roman"/>
            <w:color w:val="0000FF"/>
            <w:szCs w:val="24"/>
            <w:u w:val="single"/>
          </w:rPr>
          <w:t>https://www.reuters.com/business/autos-transportation/ev-charging-market-analysis-2024-03-15/</w:t>
        </w:r>
      </w:hyperlink>
      <w:r w:rsidRPr="00705124">
        <w:rPr>
          <w:rFonts w:eastAsia="Times New Roman" w:cs="Times New Roman"/>
          <w:szCs w:val="24"/>
        </w:rPr>
        <w:t xml:space="preserve"> (Accessed: 29 April 2025).</w:t>
      </w:r>
    </w:p>
    <w:p w:rsidR="00705124" w:rsidRPr="00705124" w:rsidRDefault="00705124" w:rsidP="00DF3B7C">
      <w:pPr>
        <w:spacing w:after="0" w:line="480" w:lineRule="auto"/>
        <w:rPr>
          <w:rFonts w:eastAsia="Times New Roman" w:cs="Times New Roman"/>
          <w:szCs w:val="24"/>
        </w:rPr>
      </w:pPr>
      <w:r w:rsidRPr="00705124">
        <w:rPr>
          <w:rFonts w:eastAsia="Times New Roman" w:cs="Times New Roman"/>
          <w:szCs w:val="24"/>
        </w:rPr>
        <w:t xml:space="preserve">United Nations (2023) </w:t>
      </w:r>
      <w:r w:rsidRPr="00DF3B7C">
        <w:rPr>
          <w:rFonts w:eastAsia="Times New Roman" w:cs="Times New Roman"/>
          <w:i/>
          <w:iCs/>
          <w:szCs w:val="24"/>
        </w:rPr>
        <w:t>The Sustainable Development Goals Report 2023</w:t>
      </w:r>
      <w:r w:rsidRPr="00705124">
        <w:rPr>
          <w:rFonts w:eastAsia="Times New Roman" w:cs="Times New Roman"/>
          <w:szCs w:val="24"/>
        </w:rPr>
        <w:t xml:space="preserve">. New York: United Nations Publications. Available at: </w:t>
      </w:r>
      <w:hyperlink r:id="rId13" w:history="1">
        <w:r w:rsidRPr="00DF3B7C">
          <w:rPr>
            <w:rFonts w:eastAsia="Times New Roman" w:cs="Times New Roman"/>
            <w:color w:val="0000FF"/>
            <w:szCs w:val="24"/>
            <w:u w:val="single"/>
          </w:rPr>
          <w:t>https://unstats.un.org/sdgs/report/2023/</w:t>
        </w:r>
      </w:hyperlink>
      <w:r w:rsidRPr="00705124">
        <w:rPr>
          <w:rFonts w:eastAsia="Times New Roman" w:cs="Times New Roman"/>
          <w:szCs w:val="24"/>
        </w:rPr>
        <w:t xml:space="preserve"> (Accessed: 29 April 2025).</w:t>
      </w:r>
    </w:p>
    <w:p w:rsidR="00705124" w:rsidRPr="00705124" w:rsidRDefault="00705124" w:rsidP="00DF3B7C">
      <w:pPr>
        <w:spacing w:after="0" w:line="480" w:lineRule="auto"/>
        <w:rPr>
          <w:rFonts w:eastAsia="Times New Roman" w:cs="Times New Roman"/>
          <w:szCs w:val="24"/>
        </w:rPr>
      </w:pPr>
      <w:r w:rsidRPr="00705124">
        <w:rPr>
          <w:rFonts w:eastAsia="Times New Roman" w:cs="Times New Roman"/>
          <w:szCs w:val="24"/>
        </w:rPr>
        <w:t xml:space="preserve">Wood Mackenzie (2024) </w:t>
      </w:r>
      <w:r w:rsidRPr="00DF3B7C">
        <w:rPr>
          <w:rFonts w:eastAsia="Times New Roman" w:cs="Times New Roman"/>
          <w:i/>
          <w:iCs/>
          <w:szCs w:val="24"/>
        </w:rPr>
        <w:t>Global Downstream Outlook: Navigating the energy transition</w:t>
      </w:r>
      <w:r w:rsidRPr="00705124">
        <w:rPr>
          <w:rFonts w:eastAsia="Times New Roman" w:cs="Times New Roman"/>
          <w:szCs w:val="24"/>
        </w:rPr>
        <w:t xml:space="preserve">. Edinburgh: Wood Mackenzie Research. Available at: </w:t>
      </w:r>
      <w:hyperlink r:id="rId14" w:history="1">
        <w:r w:rsidRPr="00DF3B7C">
          <w:rPr>
            <w:rFonts w:eastAsia="Times New Roman" w:cs="Times New Roman"/>
            <w:color w:val="0000FF"/>
            <w:szCs w:val="24"/>
            <w:u w:val="single"/>
          </w:rPr>
          <w:t>https://www.woodmac.com/reports/downstream-oil-global-downstream-outlook-2024-550321</w:t>
        </w:r>
      </w:hyperlink>
      <w:r w:rsidRPr="00705124">
        <w:rPr>
          <w:rFonts w:eastAsia="Times New Roman" w:cs="Times New Roman"/>
          <w:szCs w:val="24"/>
        </w:rPr>
        <w:t xml:space="preserve"> (Accessed: 28 April 2025).</w:t>
      </w:r>
    </w:p>
    <w:p w:rsidR="00705124" w:rsidRPr="00705124" w:rsidRDefault="00705124" w:rsidP="00DF3B7C">
      <w:pPr>
        <w:spacing w:after="0" w:line="480" w:lineRule="auto"/>
        <w:rPr>
          <w:rFonts w:eastAsia="Times New Roman" w:cs="Times New Roman"/>
          <w:szCs w:val="24"/>
        </w:rPr>
      </w:pPr>
    </w:p>
    <w:p w:rsidR="006A02AC" w:rsidRPr="00DF3B7C" w:rsidRDefault="00DD0FA5" w:rsidP="00DF3B7C">
      <w:pPr>
        <w:spacing w:after="0" w:line="480" w:lineRule="auto"/>
        <w:rPr>
          <w:rFonts w:cs="Times New Roman"/>
          <w:szCs w:val="24"/>
        </w:rPr>
      </w:pPr>
    </w:p>
    <w:sectPr w:rsidR="006A02AC" w:rsidRPr="00DF3B7C">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FA5" w:rsidRDefault="00DD0FA5" w:rsidP="000217CC">
      <w:pPr>
        <w:spacing w:after="0" w:line="240" w:lineRule="auto"/>
      </w:pPr>
      <w:r>
        <w:separator/>
      </w:r>
    </w:p>
  </w:endnote>
  <w:endnote w:type="continuationSeparator" w:id="0">
    <w:p w:rsidR="00DD0FA5" w:rsidRDefault="00DD0FA5" w:rsidP="00021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FA5" w:rsidRDefault="00DD0FA5" w:rsidP="000217CC">
      <w:pPr>
        <w:spacing w:after="0" w:line="240" w:lineRule="auto"/>
      </w:pPr>
      <w:r>
        <w:separator/>
      </w:r>
    </w:p>
  </w:footnote>
  <w:footnote w:type="continuationSeparator" w:id="0">
    <w:p w:rsidR="00DD0FA5" w:rsidRDefault="00DD0FA5" w:rsidP="00021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8287"/>
      <w:docPartObj>
        <w:docPartGallery w:val="Page Numbers (Top of Page)"/>
        <w:docPartUnique/>
      </w:docPartObj>
    </w:sdtPr>
    <w:sdtEndPr>
      <w:rPr>
        <w:noProof/>
      </w:rPr>
    </w:sdtEndPr>
    <w:sdtContent>
      <w:p w:rsidR="000217CC" w:rsidRDefault="000217CC">
        <w:pPr>
          <w:pStyle w:val="Header"/>
          <w:jc w:val="right"/>
        </w:pPr>
        <w:r>
          <w:fldChar w:fldCharType="begin"/>
        </w:r>
        <w:r>
          <w:instrText xml:space="preserve"> PAGE   \* MERGEFORMAT </w:instrText>
        </w:r>
        <w:r>
          <w:fldChar w:fldCharType="separate"/>
        </w:r>
        <w:r w:rsidR="00DF3B7C">
          <w:rPr>
            <w:noProof/>
          </w:rPr>
          <w:t>4</w:t>
        </w:r>
        <w:r>
          <w:rPr>
            <w:noProof/>
          </w:rPr>
          <w:fldChar w:fldCharType="end"/>
        </w:r>
      </w:p>
    </w:sdtContent>
  </w:sdt>
  <w:p w:rsidR="000217CC" w:rsidRDefault="00021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CDB"/>
    <w:multiLevelType w:val="multilevel"/>
    <w:tmpl w:val="7892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0515B"/>
    <w:multiLevelType w:val="multilevel"/>
    <w:tmpl w:val="8AE0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51126"/>
    <w:multiLevelType w:val="multilevel"/>
    <w:tmpl w:val="33D4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C607B"/>
    <w:multiLevelType w:val="multilevel"/>
    <w:tmpl w:val="3B56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961BA"/>
    <w:multiLevelType w:val="multilevel"/>
    <w:tmpl w:val="E0DC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350354"/>
    <w:multiLevelType w:val="multilevel"/>
    <w:tmpl w:val="9732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D6DFA"/>
    <w:multiLevelType w:val="multilevel"/>
    <w:tmpl w:val="CF32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C5DBE"/>
    <w:multiLevelType w:val="multilevel"/>
    <w:tmpl w:val="0696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06F06"/>
    <w:multiLevelType w:val="multilevel"/>
    <w:tmpl w:val="F08A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E7F60"/>
    <w:multiLevelType w:val="multilevel"/>
    <w:tmpl w:val="97F4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D329C"/>
    <w:multiLevelType w:val="multilevel"/>
    <w:tmpl w:val="834A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BD4A58"/>
    <w:multiLevelType w:val="multilevel"/>
    <w:tmpl w:val="87A4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6462C"/>
    <w:multiLevelType w:val="multilevel"/>
    <w:tmpl w:val="7A048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0F442D"/>
    <w:multiLevelType w:val="multilevel"/>
    <w:tmpl w:val="6A12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2E0251"/>
    <w:multiLevelType w:val="multilevel"/>
    <w:tmpl w:val="341A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53046"/>
    <w:multiLevelType w:val="multilevel"/>
    <w:tmpl w:val="7A68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3"/>
  </w:num>
  <w:num w:numId="4">
    <w:abstractNumId w:val="11"/>
  </w:num>
  <w:num w:numId="5">
    <w:abstractNumId w:val="14"/>
  </w:num>
  <w:num w:numId="6">
    <w:abstractNumId w:val="2"/>
  </w:num>
  <w:num w:numId="7">
    <w:abstractNumId w:val="6"/>
  </w:num>
  <w:num w:numId="8">
    <w:abstractNumId w:val="8"/>
  </w:num>
  <w:num w:numId="9">
    <w:abstractNumId w:val="3"/>
  </w:num>
  <w:num w:numId="10">
    <w:abstractNumId w:val="9"/>
  </w:num>
  <w:num w:numId="11">
    <w:abstractNumId w:val="15"/>
  </w:num>
  <w:num w:numId="12">
    <w:abstractNumId w:val="5"/>
  </w:num>
  <w:num w:numId="13">
    <w:abstractNumId w:val="10"/>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24"/>
    <w:rsid w:val="000217CC"/>
    <w:rsid w:val="000D1E37"/>
    <w:rsid w:val="002F172E"/>
    <w:rsid w:val="00307395"/>
    <w:rsid w:val="00316E4C"/>
    <w:rsid w:val="003A5619"/>
    <w:rsid w:val="003D723C"/>
    <w:rsid w:val="00463973"/>
    <w:rsid w:val="0050606C"/>
    <w:rsid w:val="00514046"/>
    <w:rsid w:val="00665C21"/>
    <w:rsid w:val="00683231"/>
    <w:rsid w:val="00705124"/>
    <w:rsid w:val="007E0F15"/>
    <w:rsid w:val="009177B4"/>
    <w:rsid w:val="009A1273"/>
    <w:rsid w:val="00D73D20"/>
    <w:rsid w:val="00DB1464"/>
    <w:rsid w:val="00DD0FA5"/>
    <w:rsid w:val="00DF3B7C"/>
    <w:rsid w:val="00E93724"/>
    <w:rsid w:val="00FB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A5363-DD10-4346-ABBC-389A71B5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31"/>
    <w:rPr>
      <w:rFonts w:ascii="Times New Roman" w:hAnsi="Times New Roman"/>
      <w:sz w:val="24"/>
    </w:rPr>
  </w:style>
  <w:style w:type="paragraph" w:styleId="Heading1">
    <w:name w:val="heading 1"/>
    <w:basedOn w:val="Normal"/>
    <w:next w:val="Normal"/>
    <w:link w:val="Heading1Char"/>
    <w:uiPriority w:val="9"/>
    <w:qFormat/>
    <w:rsid w:val="009177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0512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705124"/>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705124"/>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51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512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5124"/>
    <w:rPr>
      <w:rFonts w:ascii="Times New Roman" w:eastAsia="Times New Roman" w:hAnsi="Times New Roman" w:cs="Times New Roman"/>
      <w:b/>
      <w:bCs/>
      <w:sz w:val="24"/>
      <w:szCs w:val="24"/>
    </w:rPr>
  </w:style>
  <w:style w:type="character" w:styleId="Strong">
    <w:name w:val="Strong"/>
    <w:basedOn w:val="DefaultParagraphFont"/>
    <w:uiPriority w:val="22"/>
    <w:qFormat/>
    <w:rsid w:val="00705124"/>
    <w:rPr>
      <w:b/>
      <w:bCs/>
    </w:rPr>
  </w:style>
  <w:style w:type="paragraph" w:customStyle="1" w:styleId="font-claude-response-body">
    <w:name w:val="font-claude-response-body"/>
    <w:basedOn w:val="Normal"/>
    <w:rsid w:val="00705124"/>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705124"/>
    <w:rPr>
      <w:i/>
      <w:iCs/>
    </w:rPr>
  </w:style>
  <w:style w:type="character" w:styleId="Hyperlink">
    <w:name w:val="Hyperlink"/>
    <w:basedOn w:val="DefaultParagraphFont"/>
    <w:uiPriority w:val="99"/>
    <w:semiHidden/>
    <w:unhideWhenUsed/>
    <w:rsid w:val="00705124"/>
    <w:rPr>
      <w:color w:val="0000FF"/>
      <w:u w:val="single"/>
    </w:rPr>
  </w:style>
  <w:style w:type="character" w:customStyle="1" w:styleId="Heading1Char">
    <w:name w:val="Heading 1 Char"/>
    <w:basedOn w:val="DefaultParagraphFont"/>
    <w:link w:val="Heading1"/>
    <w:uiPriority w:val="9"/>
    <w:rsid w:val="009177B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177B4"/>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021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7CC"/>
    <w:rPr>
      <w:rFonts w:ascii="Times New Roman" w:hAnsi="Times New Roman"/>
      <w:sz w:val="24"/>
    </w:rPr>
  </w:style>
  <w:style w:type="paragraph" w:styleId="Footer">
    <w:name w:val="footer"/>
    <w:basedOn w:val="Normal"/>
    <w:link w:val="FooterChar"/>
    <w:uiPriority w:val="99"/>
    <w:unhideWhenUsed/>
    <w:rsid w:val="00021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7CC"/>
    <w:rPr>
      <w:rFonts w:ascii="Times New Roman" w:hAnsi="Times New Roman"/>
      <w:sz w:val="24"/>
    </w:rPr>
  </w:style>
  <w:style w:type="paragraph" w:styleId="Bibliography">
    <w:name w:val="Bibliography"/>
    <w:basedOn w:val="Normal"/>
    <w:next w:val="Normal"/>
    <w:uiPriority w:val="37"/>
    <w:unhideWhenUsed/>
    <w:rsid w:val="00DF3B7C"/>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4755">
      <w:bodyDiv w:val="1"/>
      <w:marLeft w:val="0"/>
      <w:marRight w:val="0"/>
      <w:marTop w:val="0"/>
      <w:marBottom w:val="0"/>
      <w:divBdr>
        <w:top w:val="none" w:sz="0" w:space="0" w:color="auto"/>
        <w:left w:val="none" w:sz="0" w:space="0" w:color="auto"/>
        <w:bottom w:val="none" w:sz="0" w:space="0" w:color="auto"/>
        <w:right w:val="none" w:sz="0" w:space="0" w:color="auto"/>
      </w:divBdr>
      <w:divsChild>
        <w:div w:id="1868517775">
          <w:marLeft w:val="0"/>
          <w:marRight w:val="0"/>
          <w:marTop w:val="120"/>
          <w:marBottom w:val="120"/>
          <w:divBdr>
            <w:top w:val="none" w:sz="0" w:space="0" w:color="auto"/>
            <w:left w:val="none" w:sz="0" w:space="0" w:color="auto"/>
            <w:bottom w:val="none" w:sz="0" w:space="0" w:color="auto"/>
            <w:right w:val="none" w:sz="0" w:space="0" w:color="auto"/>
          </w:divBdr>
        </w:div>
      </w:divsChild>
    </w:div>
    <w:div w:id="58791585">
      <w:bodyDiv w:val="1"/>
      <w:marLeft w:val="0"/>
      <w:marRight w:val="0"/>
      <w:marTop w:val="0"/>
      <w:marBottom w:val="0"/>
      <w:divBdr>
        <w:top w:val="none" w:sz="0" w:space="0" w:color="auto"/>
        <w:left w:val="none" w:sz="0" w:space="0" w:color="auto"/>
        <w:bottom w:val="none" w:sz="0" w:space="0" w:color="auto"/>
        <w:right w:val="none" w:sz="0" w:space="0" w:color="auto"/>
      </w:divBdr>
      <w:divsChild>
        <w:div w:id="314920895">
          <w:marLeft w:val="0"/>
          <w:marRight w:val="0"/>
          <w:marTop w:val="120"/>
          <w:marBottom w:val="120"/>
          <w:divBdr>
            <w:top w:val="none" w:sz="0" w:space="0" w:color="auto"/>
            <w:left w:val="none" w:sz="0" w:space="0" w:color="auto"/>
            <w:bottom w:val="none" w:sz="0" w:space="0" w:color="auto"/>
            <w:right w:val="none" w:sz="0" w:space="0" w:color="auto"/>
          </w:divBdr>
        </w:div>
      </w:divsChild>
    </w:div>
    <w:div w:id="102770009">
      <w:bodyDiv w:val="1"/>
      <w:marLeft w:val="0"/>
      <w:marRight w:val="0"/>
      <w:marTop w:val="0"/>
      <w:marBottom w:val="0"/>
      <w:divBdr>
        <w:top w:val="none" w:sz="0" w:space="0" w:color="auto"/>
        <w:left w:val="none" w:sz="0" w:space="0" w:color="auto"/>
        <w:bottom w:val="none" w:sz="0" w:space="0" w:color="auto"/>
        <w:right w:val="none" w:sz="0" w:space="0" w:color="auto"/>
      </w:divBdr>
      <w:divsChild>
        <w:div w:id="638537330">
          <w:marLeft w:val="0"/>
          <w:marRight w:val="0"/>
          <w:marTop w:val="120"/>
          <w:marBottom w:val="120"/>
          <w:divBdr>
            <w:top w:val="none" w:sz="0" w:space="0" w:color="auto"/>
            <w:left w:val="none" w:sz="0" w:space="0" w:color="auto"/>
            <w:bottom w:val="none" w:sz="0" w:space="0" w:color="auto"/>
            <w:right w:val="none" w:sz="0" w:space="0" w:color="auto"/>
          </w:divBdr>
        </w:div>
      </w:divsChild>
    </w:div>
    <w:div w:id="186606049">
      <w:bodyDiv w:val="1"/>
      <w:marLeft w:val="0"/>
      <w:marRight w:val="0"/>
      <w:marTop w:val="0"/>
      <w:marBottom w:val="0"/>
      <w:divBdr>
        <w:top w:val="none" w:sz="0" w:space="0" w:color="auto"/>
        <w:left w:val="none" w:sz="0" w:space="0" w:color="auto"/>
        <w:bottom w:val="none" w:sz="0" w:space="0" w:color="auto"/>
        <w:right w:val="none" w:sz="0" w:space="0" w:color="auto"/>
      </w:divBdr>
    </w:div>
    <w:div w:id="209388048">
      <w:bodyDiv w:val="1"/>
      <w:marLeft w:val="0"/>
      <w:marRight w:val="0"/>
      <w:marTop w:val="0"/>
      <w:marBottom w:val="0"/>
      <w:divBdr>
        <w:top w:val="none" w:sz="0" w:space="0" w:color="auto"/>
        <w:left w:val="none" w:sz="0" w:space="0" w:color="auto"/>
        <w:bottom w:val="none" w:sz="0" w:space="0" w:color="auto"/>
        <w:right w:val="none" w:sz="0" w:space="0" w:color="auto"/>
      </w:divBdr>
    </w:div>
    <w:div w:id="412239794">
      <w:bodyDiv w:val="1"/>
      <w:marLeft w:val="0"/>
      <w:marRight w:val="0"/>
      <w:marTop w:val="0"/>
      <w:marBottom w:val="0"/>
      <w:divBdr>
        <w:top w:val="none" w:sz="0" w:space="0" w:color="auto"/>
        <w:left w:val="none" w:sz="0" w:space="0" w:color="auto"/>
        <w:bottom w:val="none" w:sz="0" w:space="0" w:color="auto"/>
        <w:right w:val="none" w:sz="0" w:space="0" w:color="auto"/>
      </w:divBdr>
    </w:div>
    <w:div w:id="423956511">
      <w:bodyDiv w:val="1"/>
      <w:marLeft w:val="0"/>
      <w:marRight w:val="0"/>
      <w:marTop w:val="0"/>
      <w:marBottom w:val="0"/>
      <w:divBdr>
        <w:top w:val="none" w:sz="0" w:space="0" w:color="auto"/>
        <w:left w:val="none" w:sz="0" w:space="0" w:color="auto"/>
        <w:bottom w:val="none" w:sz="0" w:space="0" w:color="auto"/>
        <w:right w:val="none" w:sz="0" w:space="0" w:color="auto"/>
      </w:divBdr>
      <w:divsChild>
        <w:div w:id="654996602">
          <w:marLeft w:val="0"/>
          <w:marRight w:val="0"/>
          <w:marTop w:val="120"/>
          <w:marBottom w:val="120"/>
          <w:divBdr>
            <w:top w:val="none" w:sz="0" w:space="0" w:color="auto"/>
            <w:left w:val="none" w:sz="0" w:space="0" w:color="auto"/>
            <w:bottom w:val="none" w:sz="0" w:space="0" w:color="auto"/>
            <w:right w:val="none" w:sz="0" w:space="0" w:color="auto"/>
          </w:divBdr>
        </w:div>
      </w:divsChild>
    </w:div>
    <w:div w:id="494801816">
      <w:bodyDiv w:val="1"/>
      <w:marLeft w:val="0"/>
      <w:marRight w:val="0"/>
      <w:marTop w:val="0"/>
      <w:marBottom w:val="0"/>
      <w:divBdr>
        <w:top w:val="none" w:sz="0" w:space="0" w:color="auto"/>
        <w:left w:val="none" w:sz="0" w:space="0" w:color="auto"/>
        <w:bottom w:val="none" w:sz="0" w:space="0" w:color="auto"/>
        <w:right w:val="none" w:sz="0" w:space="0" w:color="auto"/>
      </w:divBdr>
    </w:div>
    <w:div w:id="502822215">
      <w:bodyDiv w:val="1"/>
      <w:marLeft w:val="0"/>
      <w:marRight w:val="0"/>
      <w:marTop w:val="0"/>
      <w:marBottom w:val="0"/>
      <w:divBdr>
        <w:top w:val="none" w:sz="0" w:space="0" w:color="auto"/>
        <w:left w:val="none" w:sz="0" w:space="0" w:color="auto"/>
        <w:bottom w:val="none" w:sz="0" w:space="0" w:color="auto"/>
        <w:right w:val="none" w:sz="0" w:space="0" w:color="auto"/>
      </w:divBdr>
      <w:divsChild>
        <w:div w:id="1586190183">
          <w:marLeft w:val="0"/>
          <w:marRight w:val="0"/>
          <w:marTop w:val="120"/>
          <w:marBottom w:val="120"/>
          <w:divBdr>
            <w:top w:val="none" w:sz="0" w:space="0" w:color="auto"/>
            <w:left w:val="none" w:sz="0" w:space="0" w:color="auto"/>
            <w:bottom w:val="none" w:sz="0" w:space="0" w:color="auto"/>
            <w:right w:val="none" w:sz="0" w:space="0" w:color="auto"/>
          </w:divBdr>
        </w:div>
      </w:divsChild>
    </w:div>
    <w:div w:id="579213769">
      <w:bodyDiv w:val="1"/>
      <w:marLeft w:val="0"/>
      <w:marRight w:val="0"/>
      <w:marTop w:val="0"/>
      <w:marBottom w:val="0"/>
      <w:divBdr>
        <w:top w:val="none" w:sz="0" w:space="0" w:color="auto"/>
        <w:left w:val="none" w:sz="0" w:space="0" w:color="auto"/>
        <w:bottom w:val="none" w:sz="0" w:space="0" w:color="auto"/>
        <w:right w:val="none" w:sz="0" w:space="0" w:color="auto"/>
      </w:divBdr>
    </w:div>
    <w:div w:id="801927345">
      <w:bodyDiv w:val="1"/>
      <w:marLeft w:val="0"/>
      <w:marRight w:val="0"/>
      <w:marTop w:val="0"/>
      <w:marBottom w:val="0"/>
      <w:divBdr>
        <w:top w:val="none" w:sz="0" w:space="0" w:color="auto"/>
        <w:left w:val="none" w:sz="0" w:space="0" w:color="auto"/>
        <w:bottom w:val="none" w:sz="0" w:space="0" w:color="auto"/>
        <w:right w:val="none" w:sz="0" w:space="0" w:color="auto"/>
      </w:divBdr>
    </w:div>
    <w:div w:id="821192547">
      <w:bodyDiv w:val="1"/>
      <w:marLeft w:val="0"/>
      <w:marRight w:val="0"/>
      <w:marTop w:val="0"/>
      <w:marBottom w:val="0"/>
      <w:divBdr>
        <w:top w:val="none" w:sz="0" w:space="0" w:color="auto"/>
        <w:left w:val="none" w:sz="0" w:space="0" w:color="auto"/>
        <w:bottom w:val="none" w:sz="0" w:space="0" w:color="auto"/>
        <w:right w:val="none" w:sz="0" w:space="0" w:color="auto"/>
      </w:divBdr>
      <w:divsChild>
        <w:div w:id="1060515921">
          <w:marLeft w:val="0"/>
          <w:marRight w:val="0"/>
          <w:marTop w:val="120"/>
          <w:marBottom w:val="120"/>
          <w:divBdr>
            <w:top w:val="none" w:sz="0" w:space="0" w:color="auto"/>
            <w:left w:val="none" w:sz="0" w:space="0" w:color="auto"/>
            <w:bottom w:val="none" w:sz="0" w:space="0" w:color="auto"/>
            <w:right w:val="none" w:sz="0" w:space="0" w:color="auto"/>
          </w:divBdr>
        </w:div>
      </w:divsChild>
    </w:div>
    <w:div w:id="842823522">
      <w:bodyDiv w:val="1"/>
      <w:marLeft w:val="0"/>
      <w:marRight w:val="0"/>
      <w:marTop w:val="0"/>
      <w:marBottom w:val="0"/>
      <w:divBdr>
        <w:top w:val="none" w:sz="0" w:space="0" w:color="auto"/>
        <w:left w:val="none" w:sz="0" w:space="0" w:color="auto"/>
        <w:bottom w:val="none" w:sz="0" w:space="0" w:color="auto"/>
        <w:right w:val="none" w:sz="0" w:space="0" w:color="auto"/>
      </w:divBdr>
      <w:divsChild>
        <w:div w:id="1370761457">
          <w:marLeft w:val="0"/>
          <w:marRight w:val="0"/>
          <w:marTop w:val="120"/>
          <w:marBottom w:val="120"/>
          <w:divBdr>
            <w:top w:val="none" w:sz="0" w:space="0" w:color="auto"/>
            <w:left w:val="none" w:sz="0" w:space="0" w:color="auto"/>
            <w:bottom w:val="none" w:sz="0" w:space="0" w:color="auto"/>
            <w:right w:val="none" w:sz="0" w:space="0" w:color="auto"/>
          </w:divBdr>
        </w:div>
      </w:divsChild>
    </w:div>
    <w:div w:id="897284904">
      <w:bodyDiv w:val="1"/>
      <w:marLeft w:val="0"/>
      <w:marRight w:val="0"/>
      <w:marTop w:val="0"/>
      <w:marBottom w:val="0"/>
      <w:divBdr>
        <w:top w:val="none" w:sz="0" w:space="0" w:color="auto"/>
        <w:left w:val="none" w:sz="0" w:space="0" w:color="auto"/>
        <w:bottom w:val="none" w:sz="0" w:space="0" w:color="auto"/>
        <w:right w:val="none" w:sz="0" w:space="0" w:color="auto"/>
      </w:divBdr>
      <w:divsChild>
        <w:div w:id="513346849">
          <w:marLeft w:val="0"/>
          <w:marRight w:val="0"/>
          <w:marTop w:val="120"/>
          <w:marBottom w:val="120"/>
          <w:divBdr>
            <w:top w:val="none" w:sz="0" w:space="0" w:color="auto"/>
            <w:left w:val="none" w:sz="0" w:space="0" w:color="auto"/>
            <w:bottom w:val="none" w:sz="0" w:space="0" w:color="auto"/>
            <w:right w:val="none" w:sz="0" w:space="0" w:color="auto"/>
          </w:divBdr>
        </w:div>
      </w:divsChild>
    </w:div>
    <w:div w:id="928006117">
      <w:bodyDiv w:val="1"/>
      <w:marLeft w:val="0"/>
      <w:marRight w:val="0"/>
      <w:marTop w:val="0"/>
      <w:marBottom w:val="0"/>
      <w:divBdr>
        <w:top w:val="none" w:sz="0" w:space="0" w:color="auto"/>
        <w:left w:val="none" w:sz="0" w:space="0" w:color="auto"/>
        <w:bottom w:val="none" w:sz="0" w:space="0" w:color="auto"/>
        <w:right w:val="none" w:sz="0" w:space="0" w:color="auto"/>
      </w:divBdr>
    </w:div>
    <w:div w:id="969435532">
      <w:bodyDiv w:val="1"/>
      <w:marLeft w:val="0"/>
      <w:marRight w:val="0"/>
      <w:marTop w:val="0"/>
      <w:marBottom w:val="0"/>
      <w:divBdr>
        <w:top w:val="none" w:sz="0" w:space="0" w:color="auto"/>
        <w:left w:val="none" w:sz="0" w:space="0" w:color="auto"/>
        <w:bottom w:val="none" w:sz="0" w:space="0" w:color="auto"/>
        <w:right w:val="none" w:sz="0" w:space="0" w:color="auto"/>
      </w:divBdr>
      <w:divsChild>
        <w:div w:id="1900746695">
          <w:marLeft w:val="0"/>
          <w:marRight w:val="0"/>
          <w:marTop w:val="120"/>
          <w:marBottom w:val="120"/>
          <w:divBdr>
            <w:top w:val="none" w:sz="0" w:space="0" w:color="auto"/>
            <w:left w:val="none" w:sz="0" w:space="0" w:color="auto"/>
            <w:bottom w:val="none" w:sz="0" w:space="0" w:color="auto"/>
            <w:right w:val="none" w:sz="0" w:space="0" w:color="auto"/>
          </w:divBdr>
        </w:div>
      </w:divsChild>
    </w:div>
    <w:div w:id="1071007624">
      <w:bodyDiv w:val="1"/>
      <w:marLeft w:val="0"/>
      <w:marRight w:val="0"/>
      <w:marTop w:val="0"/>
      <w:marBottom w:val="0"/>
      <w:divBdr>
        <w:top w:val="none" w:sz="0" w:space="0" w:color="auto"/>
        <w:left w:val="none" w:sz="0" w:space="0" w:color="auto"/>
        <w:bottom w:val="none" w:sz="0" w:space="0" w:color="auto"/>
        <w:right w:val="none" w:sz="0" w:space="0" w:color="auto"/>
      </w:divBdr>
      <w:divsChild>
        <w:div w:id="1419445250">
          <w:marLeft w:val="0"/>
          <w:marRight w:val="0"/>
          <w:marTop w:val="120"/>
          <w:marBottom w:val="120"/>
          <w:divBdr>
            <w:top w:val="none" w:sz="0" w:space="0" w:color="auto"/>
            <w:left w:val="none" w:sz="0" w:space="0" w:color="auto"/>
            <w:bottom w:val="none" w:sz="0" w:space="0" w:color="auto"/>
            <w:right w:val="none" w:sz="0" w:space="0" w:color="auto"/>
          </w:divBdr>
        </w:div>
      </w:divsChild>
    </w:div>
    <w:div w:id="1224028530">
      <w:bodyDiv w:val="1"/>
      <w:marLeft w:val="0"/>
      <w:marRight w:val="0"/>
      <w:marTop w:val="0"/>
      <w:marBottom w:val="0"/>
      <w:divBdr>
        <w:top w:val="none" w:sz="0" w:space="0" w:color="auto"/>
        <w:left w:val="none" w:sz="0" w:space="0" w:color="auto"/>
        <w:bottom w:val="none" w:sz="0" w:space="0" w:color="auto"/>
        <w:right w:val="none" w:sz="0" w:space="0" w:color="auto"/>
      </w:divBdr>
      <w:divsChild>
        <w:div w:id="914359114">
          <w:marLeft w:val="0"/>
          <w:marRight w:val="0"/>
          <w:marTop w:val="120"/>
          <w:marBottom w:val="120"/>
          <w:divBdr>
            <w:top w:val="none" w:sz="0" w:space="0" w:color="auto"/>
            <w:left w:val="none" w:sz="0" w:space="0" w:color="auto"/>
            <w:bottom w:val="none" w:sz="0" w:space="0" w:color="auto"/>
            <w:right w:val="none" w:sz="0" w:space="0" w:color="auto"/>
          </w:divBdr>
        </w:div>
      </w:divsChild>
    </w:div>
    <w:div w:id="1356736209">
      <w:bodyDiv w:val="1"/>
      <w:marLeft w:val="0"/>
      <w:marRight w:val="0"/>
      <w:marTop w:val="0"/>
      <w:marBottom w:val="0"/>
      <w:divBdr>
        <w:top w:val="none" w:sz="0" w:space="0" w:color="auto"/>
        <w:left w:val="none" w:sz="0" w:space="0" w:color="auto"/>
        <w:bottom w:val="none" w:sz="0" w:space="0" w:color="auto"/>
        <w:right w:val="none" w:sz="0" w:space="0" w:color="auto"/>
      </w:divBdr>
    </w:div>
    <w:div w:id="1381130477">
      <w:bodyDiv w:val="1"/>
      <w:marLeft w:val="0"/>
      <w:marRight w:val="0"/>
      <w:marTop w:val="0"/>
      <w:marBottom w:val="0"/>
      <w:divBdr>
        <w:top w:val="none" w:sz="0" w:space="0" w:color="auto"/>
        <w:left w:val="none" w:sz="0" w:space="0" w:color="auto"/>
        <w:bottom w:val="none" w:sz="0" w:space="0" w:color="auto"/>
        <w:right w:val="none" w:sz="0" w:space="0" w:color="auto"/>
      </w:divBdr>
      <w:divsChild>
        <w:div w:id="803354049">
          <w:marLeft w:val="0"/>
          <w:marRight w:val="0"/>
          <w:marTop w:val="120"/>
          <w:marBottom w:val="120"/>
          <w:divBdr>
            <w:top w:val="none" w:sz="0" w:space="0" w:color="auto"/>
            <w:left w:val="none" w:sz="0" w:space="0" w:color="auto"/>
            <w:bottom w:val="none" w:sz="0" w:space="0" w:color="auto"/>
            <w:right w:val="none" w:sz="0" w:space="0" w:color="auto"/>
          </w:divBdr>
        </w:div>
      </w:divsChild>
    </w:div>
    <w:div w:id="1492411271">
      <w:bodyDiv w:val="1"/>
      <w:marLeft w:val="0"/>
      <w:marRight w:val="0"/>
      <w:marTop w:val="0"/>
      <w:marBottom w:val="0"/>
      <w:divBdr>
        <w:top w:val="none" w:sz="0" w:space="0" w:color="auto"/>
        <w:left w:val="none" w:sz="0" w:space="0" w:color="auto"/>
        <w:bottom w:val="none" w:sz="0" w:space="0" w:color="auto"/>
        <w:right w:val="none" w:sz="0" w:space="0" w:color="auto"/>
      </w:divBdr>
    </w:div>
    <w:div w:id="1561552129">
      <w:bodyDiv w:val="1"/>
      <w:marLeft w:val="0"/>
      <w:marRight w:val="0"/>
      <w:marTop w:val="0"/>
      <w:marBottom w:val="0"/>
      <w:divBdr>
        <w:top w:val="none" w:sz="0" w:space="0" w:color="auto"/>
        <w:left w:val="none" w:sz="0" w:space="0" w:color="auto"/>
        <w:bottom w:val="none" w:sz="0" w:space="0" w:color="auto"/>
        <w:right w:val="none" w:sz="0" w:space="0" w:color="auto"/>
      </w:divBdr>
    </w:div>
    <w:div w:id="1600790986">
      <w:bodyDiv w:val="1"/>
      <w:marLeft w:val="0"/>
      <w:marRight w:val="0"/>
      <w:marTop w:val="0"/>
      <w:marBottom w:val="0"/>
      <w:divBdr>
        <w:top w:val="none" w:sz="0" w:space="0" w:color="auto"/>
        <w:left w:val="none" w:sz="0" w:space="0" w:color="auto"/>
        <w:bottom w:val="none" w:sz="0" w:space="0" w:color="auto"/>
        <w:right w:val="none" w:sz="0" w:space="0" w:color="auto"/>
      </w:divBdr>
    </w:div>
    <w:div w:id="1636256736">
      <w:bodyDiv w:val="1"/>
      <w:marLeft w:val="0"/>
      <w:marRight w:val="0"/>
      <w:marTop w:val="0"/>
      <w:marBottom w:val="0"/>
      <w:divBdr>
        <w:top w:val="none" w:sz="0" w:space="0" w:color="auto"/>
        <w:left w:val="none" w:sz="0" w:space="0" w:color="auto"/>
        <w:bottom w:val="none" w:sz="0" w:space="0" w:color="auto"/>
        <w:right w:val="none" w:sz="0" w:space="0" w:color="auto"/>
      </w:divBdr>
      <w:divsChild>
        <w:div w:id="185797025">
          <w:marLeft w:val="0"/>
          <w:marRight w:val="0"/>
          <w:marTop w:val="0"/>
          <w:marBottom w:val="0"/>
          <w:divBdr>
            <w:top w:val="none" w:sz="0" w:space="0" w:color="auto"/>
            <w:left w:val="none" w:sz="0" w:space="0" w:color="auto"/>
            <w:bottom w:val="none" w:sz="0" w:space="0" w:color="auto"/>
            <w:right w:val="none" w:sz="0" w:space="0" w:color="auto"/>
          </w:divBdr>
          <w:divsChild>
            <w:div w:id="1737893017">
              <w:marLeft w:val="0"/>
              <w:marRight w:val="0"/>
              <w:marTop w:val="0"/>
              <w:marBottom w:val="0"/>
              <w:divBdr>
                <w:top w:val="none" w:sz="0" w:space="0" w:color="auto"/>
                <w:left w:val="none" w:sz="0" w:space="0" w:color="auto"/>
                <w:bottom w:val="none" w:sz="0" w:space="0" w:color="auto"/>
                <w:right w:val="none" w:sz="0" w:space="0" w:color="auto"/>
              </w:divBdr>
              <w:divsChild>
                <w:div w:id="33628538">
                  <w:marLeft w:val="0"/>
                  <w:marRight w:val="0"/>
                  <w:marTop w:val="0"/>
                  <w:marBottom w:val="0"/>
                  <w:divBdr>
                    <w:top w:val="none" w:sz="0" w:space="0" w:color="auto"/>
                    <w:left w:val="none" w:sz="0" w:space="0" w:color="auto"/>
                    <w:bottom w:val="none" w:sz="0" w:space="0" w:color="auto"/>
                    <w:right w:val="none" w:sz="0" w:space="0" w:color="auto"/>
                  </w:divBdr>
                  <w:divsChild>
                    <w:div w:id="739255919">
                      <w:marLeft w:val="0"/>
                      <w:marRight w:val="0"/>
                      <w:marTop w:val="0"/>
                      <w:marBottom w:val="0"/>
                      <w:divBdr>
                        <w:top w:val="none" w:sz="0" w:space="0" w:color="auto"/>
                        <w:left w:val="none" w:sz="0" w:space="0" w:color="auto"/>
                        <w:bottom w:val="none" w:sz="0" w:space="0" w:color="auto"/>
                        <w:right w:val="none" w:sz="0" w:space="0" w:color="auto"/>
                      </w:divBdr>
                      <w:divsChild>
                        <w:div w:id="1340619204">
                          <w:marLeft w:val="0"/>
                          <w:marRight w:val="0"/>
                          <w:marTop w:val="0"/>
                          <w:marBottom w:val="0"/>
                          <w:divBdr>
                            <w:top w:val="none" w:sz="0" w:space="0" w:color="auto"/>
                            <w:left w:val="none" w:sz="0" w:space="0" w:color="auto"/>
                            <w:bottom w:val="none" w:sz="0" w:space="0" w:color="auto"/>
                            <w:right w:val="none" w:sz="0" w:space="0" w:color="auto"/>
                          </w:divBdr>
                          <w:divsChild>
                            <w:div w:id="150825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81816">
      <w:bodyDiv w:val="1"/>
      <w:marLeft w:val="0"/>
      <w:marRight w:val="0"/>
      <w:marTop w:val="0"/>
      <w:marBottom w:val="0"/>
      <w:divBdr>
        <w:top w:val="none" w:sz="0" w:space="0" w:color="auto"/>
        <w:left w:val="none" w:sz="0" w:space="0" w:color="auto"/>
        <w:bottom w:val="none" w:sz="0" w:space="0" w:color="auto"/>
        <w:right w:val="none" w:sz="0" w:space="0" w:color="auto"/>
      </w:divBdr>
      <w:divsChild>
        <w:div w:id="1600795464">
          <w:marLeft w:val="0"/>
          <w:marRight w:val="0"/>
          <w:marTop w:val="120"/>
          <w:marBottom w:val="120"/>
          <w:divBdr>
            <w:top w:val="none" w:sz="0" w:space="0" w:color="auto"/>
            <w:left w:val="none" w:sz="0" w:space="0" w:color="auto"/>
            <w:bottom w:val="none" w:sz="0" w:space="0" w:color="auto"/>
            <w:right w:val="none" w:sz="0" w:space="0" w:color="auto"/>
          </w:divBdr>
        </w:div>
      </w:divsChild>
    </w:div>
    <w:div w:id="1780831100">
      <w:bodyDiv w:val="1"/>
      <w:marLeft w:val="0"/>
      <w:marRight w:val="0"/>
      <w:marTop w:val="0"/>
      <w:marBottom w:val="0"/>
      <w:divBdr>
        <w:top w:val="none" w:sz="0" w:space="0" w:color="auto"/>
        <w:left w:val="none" w:sz="0" w:space="0" w:color="auto"/>
        <w:bottom w:val="none" w:sz="0" w:space="0" w:color="auto"/>
        <w:right w:val="none" w:sz="0" w:space="0" w:color="auto"/>
      </w:divBdr>
      <w:divsChild>
        <w:div w:id="248734319">
          <w:marLeft w:val="0"/>
          <w:marRight w:val="0"/>
          <w:marTop w:val="120"/>
          <w:marBottom w:val="120"/>
          <w:divBdr>
            <w:top w:val="none" w:sz="0" w:space="0" w:color="auto"/>
            <w:left w:val="none" w:sz="0" w:space="0" w:color="auto"/>
            <w:bottom w:val="none" w:sz="0" w:space="0" w:color="auto"/>
            <w:right w:val="none" w:sz="0" w:space="0" w:color="auto"/>
          </w:divBdr>
        </w:div>
      </w:divsChild>
    </w:div>
    <w:div w:id="1856191902">
      <w:bodyDiv w:val="1"/>
      <w:marLeft w:val="0"/>
      <w:marRight w:val="0"/>
      <w:marTop w:val="0"/>
      <w:marBottom w:val="0"/>
      <w:divBdr>
        <w:top w:val="none" w:sz="0" w:space="0" w:color="auto"/>
        <w:left w:val="none" w:sz="0" w:space="0" w:color="auto"/>
        <w:bottom w:val="none" w:sz="0" w:space="0" w:color="auto"/>
        <w:right w:val="none" w:sz="0" w:space="0" w:color="auto"/>
      </w:divBdr>
      <w:divsChild>
        <w:div w:id="1722365625">
          <w:marLeft w:val="0"/>
          <w:marRight w:val="0"/>
          <w:marTop w:val="120"/>
          <w:marBottom w:val="120"/>
          <w:divBdr>
            <w:top w:val="none" w:sz="0" w:space="0" w:color="auto"/>
            <w:left w:val="none" w:sz="0" w:space="0" w:color="auto"/>
            <w:bottom w:val="none" w:sz="0" w:space="0" w:color="auto"/>
            <w:right w:val="none" w:sz="0" w:space="0" w:color="auto"/>
          </w:divBdr>
        </w:div>
      </w:divsChild>
    </w:div>
    <w:div w:id="1872764437">
      <w:bodyDiv w:val="1"/>
      <w:marLeft w:val="0"/>
      <w:marRight w:val="0"/>
      <w:marTop w:val="0"/>
      <w:marBottom w:val="0"/>
      <w:divBdr>
        <w:top w:val="none" w:sz="0" w:space="0" w:color="auto"/>
        <w:left w:val="none" w:sz="0" w:space="0" w:color="auto"/>
        <w:bottom w:val="none" w:sz="0" w:space="0" w:color="auto"/>
        <w:right w:val="none" w:sz="0" w:space="0" w:color="auto"/>
      </w:divBdr>
    </w:div>
    <w:div w:id="1962691406">
      <w:bodyDiv w:val="1"/>
      <w:marLeft w:val="0"/>
      <w:marRight w:val="0"/>
      <w:marTop w:val="0"/>
      <w:marBottom w:val="0"/>
      <w:divBdr>
        <w:top w:val="none" w:sz="0" w:space="0" w:color="auto"/>
        <w:left w:val="none" w:sz="0" w:space="0" w:color="auto"/>
        <w:bottom w:val="none" w:sz="0" w:space="0" w:color="auto"/>
        <w:right w:val="none" w:sz="0" w:space="0" w:color="auto"/>
      </w:divBdr>
    </w:div>
    <w:div w:id="1976635761">
      <w:bodyDiv w:val="1"/>
      <w:marLeft w:val="0"/>
      <w:marRight w:val="0"/>
      <w:marTop w:val="0"/>
      <w:marBottom w:val="0"/>
      <w:divBdr>
        <w:top w:val="none" w:sz="0" w:space="0" w:color="auto"/>
        <w:left w:val="none" w:sz="0" w:space="0" w:color="auto"/>
        <w:bottom w:val="none" w:sz="0" w:space="0" w:color="auto"/>
        <w:right w:val="none" w:sz="0" w:space="0" w:color="auto"/>
      </w:divBdr>
      <w:divsChild>
        <w:div w:id="629479982">
          <w:marLeft w:val="0"/>
          <w:marRight w:val="0"/>
          <w:marTop w:val="120"/>
          <w:marBottom w:val="120"/>
          <w:divBdr>
            <w:top w:val="none" w:sz="0" w:space="0" w:color="auto"/>
            <w:left w:val="none" w:sz="0" w:space="0" w:color="auto"/>
            <w:bottom w:val="none" w:sz="0" w:space="0" w:color="auto"/>
            <w:right w:val="none" w:sz="0" w:space="0" w:color="auto"/>
          </w:divBdr>
        </w:div>
      </w:divsChild>
    </w:div>
    <w:div w:id="2016610909">
      <w:bodyDiv w:val="1"/>
      <w:marLeft w:val="0"/>
      <w:marRight w:val="0"/>
      <w:marTop w:val="0"/>
      <w:marBottom w:val="0"/>
      <w:divBdr>
        <w:top w:val="none" w:sz="0" w:space="0" w:color="auto"/>
        <w:left w:val="none" w:sz="0" w:space="0" w:color="auto"/>
        <w:bottom w:val="none" w:sz="0" w:space="0" w:color="auto"/>
        <w:right w:val="none" w:sz="0" w:space="0" w:color="auto"/>
      </w:divBdr>
    </w:div>
    <w:div w:id="2034183476">
      <w:bodyDiv w:val="1"/>
      <w:marLeft w:val="0"/>
      <w:marRight w:val="0"/>
      <w:marTop w:val="0"/>
      <w:marBottom w:val="0"/>
      <w:divBdr>
        <w:top w:val="none" w:sz="0" w:space="0" w:color="auto"/>
        <w:left w:val="none" w:sz="0" w:space="0" w:color="auto"/>
        <w:bottom w:val="none" w:sz="0" w:space="0" w:color="auto"/>
        <w:right w:val="none" w:sz="0" w:space="0" w:color="auto"/>
      </w:divBdr>
    </w:div>
    <w:div w:id="2037004838">
      <w:bodyDiv w:val="1"/>
      <w:marLeft w:val="0"/>
      <w:marRight w:val="0"/>
      <w:marTop w:val="0"/>
      <w:marBottom w:val="0"/>
      <w:divBdr>
        <w:top w:val="none" w:sz="0" w:space="0" w:color="auto"/>
        <w:left w:val="none" w:sz="0" w:space="0" w:color="auto"/>
        <w:bottom w:val="none" w:sz="0" w:space="0" w:color="auto"/>
        <w:right w:val="none" w:sz="0" w:space="0" w:color="auto"/>
      </w:divBdr>
    </w:div>
    <w:div w:id="2043821517">
      <w:bodyDiv w:val="1"/>
      <w:marLeft w:val="0"/>
      <w:marRight w:val="0"/>
      <w:marTop w:val="0"/>
      <w:marBottom w:val="0"/>
      <w:divBdr>
        <w:top w:val="none" w:sz="0" w:space="0" w:color="auto"/>
        <w:left w:val="none" w:sz="0" w:space="0" w:color="auto"/>
        <w:bottom w:val="none" w:sz="0" w:space="0" w:color="auto"/>
        <w:right w:val="none" w:sz="0" w:space="0" w:color="auto"/>
      </w:divBdr>
      <w:divsChild>
        <w:div w:id="1866094927">
          <w:marLeft w:val="0"/>
          <w:marRight w:val="0"/>
          <w:marTop w:val="120"/>
          <w:marBottom w:val="120"/>
          <w:divBdr>
            <w:top w:val="none" w:sz="0" w:space="0" w:color="auto"/>
            <w:left w:val="none" w:sz="0" w:space="0" w:color="auto"/>
            <w:bottom w:val="none" w:sz="0" w:space="0" w:color="auto"/>
            <w:right w:val="none" w:sz="0" w:space="0" w:color="auto"/>
          </w:divBdr>
        </w:div>
        <w:div w:id="1464738434">
          <w:marLeft w:val="0"/>
          <w:marRight w:val="0"/>
          <w:marTop w:val="120"/>
          <w:marBottom w:val="120"/>
          <w:divBdr>
            <w:top w:val="none" w:sz="0" w:space="0" w:color="auto"/>
            <w:left w:val="none" w:sz="0" w:space="0" w:color="auto"/>
            <w:bottom w:val="none" w:sz="0" w:space="0" w:color="auto"/>
            <w:right w:val="none" w:sz="0" w:space="0" w:color="auto"/>
          </w:divBdr>
        </w:div>
        <w:div w:id="1973630823">
          <w:marLeft w:val="0"/>
          <w:marRight w:val="0"/>
          <w:marTop w:val="120"/>
          <w:marBottom w:val="120"/>
          <w:divBdr>
            <w:top w:val="none" w:sz="0" w:space="0" w:color="auto"/>
            <w:left w:val="none" w:sz="0" w:space="0" w:color="auto"/>
            <w:bottom w:val="none" w:sz="0" w:space="0" w:color="auto"/>
            <w:right w:val="none" w:sz="0" w:space="0" w:color="auto"/>
          </w:divBdr>
        </w:div>
        <w:div w:id="234322263">
          <w:marLeft w:val="0"/>
          <w:marRight w:val="0"/>
          <w:marTop w:val="120"/>
          <w:marBottom w:val="120"/>
          <w:divBdr>
            <w:top w:val="none" w:sz="0" w:space="0" w:color="auto"/>
            <w:left w:val="none" w:sz="0" w:space="0" w:color="auto"/>
            <w:bottom w:val="none" w:sz="0" w:space="0" w:color="auto"/>
            <w:right w:val="none" w:sz="0" w:space="0" w:color="auto"/>
          </w:divBdr>
        </w:div>
        <w:div w:id="79286641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com/en/global/corporate/sustainability/aims-and-progress.html" TargetMode="External"/><Relationship Id="rId13" Type="http://schemas.openxmlformats.org/officeDocument/2006/relationships/hyperlink" Target="https://unstats.un.org/sdgs/report/2023/" TargetMode="External"/><Relationship Id="rId3" Type="http://schemas.openxmlformats.org/officeDocument/2006/relationships/settings" Target="settings.xml"/><Relationship Id="rId7" Type="http://schemas.openxmlformats.org/officeDocument/2006/relationships/hyperlink" Target="https://www.bp.com/en/global/corporate/news-and-insights/press-releases/bernard-looney-announces-new-ambition-for-bp.html" TargetMode="External"/><Relationship Id="rId12" Type="http://schemas.openxmlformats.org/officeDocument/2006/relationships/hyperlink" Target="https://www.reuters.com/business/autos-transportation/ev-charging-market-analysis-2024-03-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a.org/reports/global-ev-outlook-202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2.deloitte.com/us/en/insights/industry/oil-and-gas/oil-and-gas-industry-outlook.html" TargetMode="External"/><Relationship Id="rId4" Type="http://schemas.openxmlformats.org/officeDocument/2006/relationships/webSettings" Target="webSettings.xml"/><Relationship Id="rId9" Type="http://schemas.openxmlformats.org/officeDocument/2006/relationships/hyperlink" Target="https://www.bloomberg.com/news/articles/2024-02-14/bp-scales-back-renewables-targets" TargetMode="External"/><Relationship Id="rId14" Type="http://schemas.openxmlformats.org/officeDocument/2006/relationships/hyperlink" Target="https://www.woodmac.com/reports/downstream-oil-global-downstream-outlook-2024-550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3551</Words>
  <Characters>20246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2026-05-03T18:42:00Z</dcterms:created>
  <dcterms:modified xsi:type="dcterms:W3CDTF">2026-05-04T00:57:00Z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id="1JIYrBL1"/&gt;&lt;style id="http://www.zotero.org/styles/harvard-cite-them-right-no-et-al" locale="en-US" hasBibliography="1" bibliographyStyleHasBeenSet="1"/&gt;&lt;prefs&gt;&lt;pref name="fieldType" value="Field"</vt:lpwstr>
  </property>
  <property fmtid="{D5CDD505-2E9C-101B-9397-08002B2CF9AE}" pid="3" name="ZOTERO_PREF_2">
    <vt:lpwstr>/&gt;&lt;/prefs&gt;&lt;/data&gt;</vt:lpwstr>
  </property>
</Properties>
</file>